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31747" w14:textId="3811A547" w:rsidR="00195B0D" w:rsidRPr="00C82074" w:rsidRDefault="00195B0D" w:rsidP="00195B0D">
      <w:pPr>
        <w:pStyle w:val="3GPPHeader"/>
        <w:spacing w:after="60"/>
        <w:rPr>
          <w:sz w:val="32"/>
          <w:szCs w:val="32"/>
        </w:rPr>
      </w:pPr>
      <w:r w:rsidRPr="00C82074">
        <w:t>3GPP TSG-RAN WG1 Meeting #10</w:t>
      </w:r>
      <w:r w:rsidR="00287D5C" w:rsidRPr="00C82074">
        <w:t>7</w:t>
      </w:r>
      <w:r w:rsidR="007F78BE" w:rsidRPr="00C82074">
        <w:t>-bis</w:t>
      </w:r>
      <w:r w:rsidRPr="00C82074">
        <w:t>-e</w:t>
      </w:r>
      <w:r w:rsidRPr="00C82074">
        <w:tab/>
      </w:r>
      <w:r w:rsidRPr="0058288A">
        <w:rPr>
          <w:sz w:val="32"/>
          <w:szCs w:val="32"/>
        </w:rPr>
        <w:t>R1-</w:t>
      </w:r>
      <w:r w:rsidR="0058288A" w:rsidRPr="0058288A">
        <w:rPr>
          <w:sz w:val="32"/>
          <w:szCs w:val="32"/>
        </w:rPr>
        <w:t>2200440</w:t>
      </w:r>
    </w:p>
    <w:p w14:paraId="4D30EFA2" w14:textId="7BAAEEF0" w:rsidR="00195B0D" w:rsidRPr="00C82074" w:rsidRDefault="00195B0D" w:rsidP="00195B0D">
      <w:pPr>
        <w:pStyle w:val="3GPPHeader"/>
      </w:pPr>
      <w:r w:rsidRPr="00C82074">
        <w:t>e-Meeting, 1</w:t>
      </w:r>
      <w:r w:rsidR="007F78BE" w:rsidRPr="00C82074">
        <w:t>7</w:t>
      </w:r>
      <w:r w:rsidRPr="00C82074">
        <w:rPr>
          <w:vertAlign w:val="superscript"/>
        </w:rPr>
        <w:t>th</w:t>
      </w:r>
      <w:r w:rsidRPr="00C82074">
        <w:t xml:space="preserve"> – </w:t>
      </w:r>
      <w:r w:rsidR="007F78BE" w:rsidRPr="00C82074">
        <w:t>25</w:t>
      </w:r>
      <w:r w:rsidRPr="00C82074">
        <w:rPr>
          <w:vertAlign w:val="superscript"/>
        </w:rPr>
        <w:t>th</w:t>
      </w:r>
      <w:r w:rsidRPr="00C82074">
        <w:t xml:space="preserve"> </w:t>
      </w:r>
      <w:r w:rsidR="007F78BE" w:rsidRPr="00C82074">
        <w:t>January</w:t>
      </w:r>
      <w:r w:rsidRPr="00C82074">
        <w:t xml:space="preserve"> 202</w:t>
      </w:r>
      <w:r w:rsidR="007F78BE" w:rsidRPr="00C82074">
        <w:t>2</w:t>
      </w:r>
    </w:p>
    <w:p w14:paraId="41D67722" w14:textId="77777777" w:rsidR="003B14BA" w:rsidRPr="007F78BE" w:rsidRDefault="003B14BA" w:rsidP="003B14BA">
      <w:pPr>
        <w:pStyle w:val="3GPPHeader"/>
        <w:rPr>
          <w:highlight w:val="yellow"/>
        </w:rPr>
      </w:pPr>
    </w:p>
    <w:p w14:paraId="2EB99843" w14:textId="7996F8B6" w:rsidR="00E90E49" w:rsidRPr="007F78BE" w:rsidRDefault="00E90E49" w:rsidP="00311702">
      <w:pPr>
        <w:pStyle w:val="3GPPHeader"/>
        <w:rPr>
          <w:sz w:val="22"/>
        </w:rPr>
      </w:pPr>
      <w:r w:rsidRPr="0058288A">
        <w:rPr>
          <w:sz w:val="22"/>
        </w:rPr>
        <w:t>Agenda Item:</w:t>
      </w:r>
      <w:r w:rsidRPr="0058288A">
        <w:rPr>
          <w:sz w:val="22"/>
        </w:rPr>
        <w:tab/>
      </w:r>
      <w:r w:rsidR="002F3295" w:rsidRPr="0058288A">
        <w:rPr>
          <w:sz w:val="22"/>
        </w:rPr>
        <w:t>8.3.1</w:t>
      </w:r>
    </w:p>
    <w:p w14:paraId="2113009C" w14:textId="77777777" w:rsidR="00E90E49" w:rsidRPr="007F78BE" w:rsidRDefault="003D3C45" w:rsidP="00F64C2B">
      <w:pPr>
        <w:pStyle w:val="3GPPHeader"/>
        <w:rPr>
          <w:sz w:val="22"/>
        </w:rPr>
      </w:pPr>
      <w:r w:rsidRPr="007F78BE">
        <w:rPr>
          <w:sz w:val="22"/>
        </w:rPr>
        <w:t>Source:</w:t>
      </w:r>
      <w:r w:rsidR="00E90E49" w:rsidRPr="007F78BE">
        <w:rPr>
          <w:sz w:val="22"/>
        </w:rPr>
        <w:tab/>
      </w:r>
      <w:r w:rsidR="00F64C2B" w:rsidRPr="007F78BE">
        <w:rPr>
          <w:sz w:val="22"/>
        </w:rPr>
        <w:t>Ericsson</w:t>
      </w:r>
    </w:p>
    <w:p w14:paraId="710B11F9" w14:textId="54B7801B" w:rsidR="00E90E49" w:rsidRPr="007F78BE" w:rsidRDefault="003D3C45" w:rsidP="00311702">
      <w:pPr>
        <w:pStyle w:val="3GPPHeader"/>
        <w:rPr>
          <w:sz w:val="22"/>
        </w:rPr>
      </w:pPr>
      <w:r w:rsidRPr="007F78BE">
        <w:rPr>
          <w:sz w:val="22"/>
        </w:rPr>
        <w:t>Title:</w:t>
      </w:r>
      <w:r w:rsidR="00E90E49" w:rsidRPr="007F78BE">
        <w:rPr>
          <w:sz w:val="22"/>
        </w:rPr>
        <w:tab/>
      </w:r>
      <w:r w:rsidR="00A00663" w:rsidRPr="007F78BE">
        <w:rPr>
          <w:sz w:val="22"/>
          <w:szCs w:val="18"/>
        </w:rPr>
        <w:t>HARQ-ACK Enhancements for IIoT/URLLC</w:t>
      </w:r>
    </w:p>
    <w:p w14:paraId="50BD6B3A" w14:textId="77777777" w:rsidR="00E90E49" w:rsidRPr="00034F56" w:rsidRDefault="00E90E49" w:rsidP="00D546FF">
      <w:pPr>
        <w:pStyle w:val="3GPPHeader"/>
        <w:rPr>
          <w:sz w:val="22"/>
        </w:rPr>
      </w:pPr>
      <w:r w:rsidRPr="00034F56">
        <w:rPr>
          <w:sz w:val="22"/>
        </w:rPr>
        <w:t>Document for:</w:t>
      </w:r>
      <w:r w:rsidRPr="00034F56">
        <w:rPr>
          <w:sz w:val="22"/>
        </w:rPr>
        <w:tab/>
        <w:t>Discussion, Decision</w:t>
      </w:r>
    </w:p>
    <w:p w14:paraId="36D21A55" w14:textId="77777777" w:rsidR="00E90E49" w:rsidRPr="00CE0424" w:rsidRDefault="00230D18" w:rsidP="00CE0424">
      <w:pPr>
        <w:pStyle w:val="Heading1"/>
      </w:pPr>
      <w:r>
        <w:t>1</w:t>
      </w:r>
      <w:r>
        <w:tab/>
      </w:r>
      <w:r w:rsidR="00E90E49" w:rsidRPr="00CE0424">
        <w:t>Introduction</w:t>
      </w:r>
    </w:p>
    <w:p w14:paraId="10D0C983" w14:textId="4F83D22B" w:rsidR="007F78BE" w:rsidRPr="00C908AA" w:rsidRDefault="006D2E34" w:rsidP="002F3295">
      <w:pPr>
        <w:pStyle w:val="BodyText"/>
        <w:rPr>
          <w:sz w:val="20"/>
          <w:szCs w:val="20"/>
        </w:rPr>
      </w:pPr>
      <w:r w:rsidRPr="007F78BE">
        <w:rPr>
          <w:sz w:val="20"/>
          <w:szCs w:val="20"/>
        </w:rPr>
        <w:t>In RAN1 #10</w:t>
      </w:r>
      <w:r w:rsidR="00C908AA">
        <w:rPr>
          <w:sz w:val="20"/>
          <w:szCs w:val="20"/>
        </w:rPr>
        <w:t>7</w:t>
      </w:r>
      <w:r w:rsidRPr="007F78BE">
        <w:rPr>
          <w:sz w:val="20"/>
          <w:szCs w:val="20"/>
        </w:rPr>
        <w:t xml:space="preserve">-e </w:t>
      </w:r>
      <w:r>
        <w:rPr>
          <w:sz w:val="20"/>
          <w:szCs w:val="20"/>
        </w:rPr>
        <w:fldChar w:fldCharType="begin"/>
      </w:r>
      <w:r w:rsidRPr="007F78BE">
        <w:rPr>
          <w:sz w:val="20"/>
          <w:szCs w:val="20"/>
        </w:rPr>
        <w:instrText xml:space="preserve"> REF _Ref83998908 \r \h </w:instrText>
      </w:r>
      <w:r>
        <w:rPr>
          <w:sz w:val="20"/>
          <w:szCs w:val="20"/>
        </w:rPr>
      </w:r>
      <w:r>
        <w:rPr>
          <w:sz w:val="20"/>
          <w:szCs w:val="20"/>
        </w:rPr>
        <w:fldChar w:fldCharType="separate"/>
      </w:r>
      <w:r w:rsidR="00FE7376">
        <w:rPr>
          <w:sz w:val="20"/>
          <w:szCs w:val="20"/>
        </w:rPr>
        <w:t>[1]</w:t>
      </w:r>
      <w:r>
        <w:rPr>
          <w:sz w:val="20"/>
          <w:szCs w:val="20"/>
        </w:rPr>
        <w:fldChar w:fldCharType="end"/>
      </w:r>
      <w:r w:rsidRPr="007F78BE">
        <w:rPr>
          <w:sz w:val="20"/>
          <w:szCs w:val="20"/>
        </w:rPr>
        <w:t xml:space="preserve">, </w:t>
      </w:r>
      <w:r w:rsidR="00C908AA">
        <w:rPr>
          <w:sz w:val="20"/>
          <w:szCs w:val="20"/>
        </w:rPr>
        <w:t xml:space="preserve">most of the details </w:t>
      </w:r>
      <w:r w:rsidRPr="007F78BE">
        <w:rPr>
          <w:sz w:val="20"/>
          <w:szCs w:val="20"/>
        </w:rPr>
        <w:t xml:space="preserve">for HARQ-ACK enhancements for IIoT/URLLC have been </w:t>
      </w:r>
      <w:r w:rsidR="00C908AA">
        <w:rPr>
          <w:sz w:val="20"/>
          <w:szCs w:val="20"/>
        </w:rPr>
        <w:t>completed</w:t>
      </w:r>
      <w:r w:rsidRPr="007F78BE">
        <w:rPr>
          <w:sz w:val="20"/>
          <w:szCs w:val="20"/>
        </w:rPr>
        <w:t>.</w:t>
      </w:r>
      <w:r w:rsidR="007A4A63" w:rsidRPr="007F78BE">
        <w:rPr>
          <w:sz w:val="20"/>
          <w:szCs w:val="20"/>
        </w:rPr>
        <w:t xml:space="preserve"> </w:t>
      </w:r>
      <w:r w:rsidR="00D70AF3" w:rsidRPr="007F78BE">
        <w:rPr>
          <w:sz w:val="20"/>
          <w:szCs w:val="20"/>
        </w:rPr>
        <w:t xml:space="preserve">In this contribution, we </w:t>
      </w:r>
      <w:r w:rsidR="00303AE9" w:rsidRPr="007F78BE">
        <w:rPr>
          <w:sz w:val="20"/>
          <w:szCs w:val="20"/>
        </w:rPr>
        <w:t xml:space="preserve">address </w:t>
      </w:r>
      <w:r w:rsidR="00C908AA">
        <w:rPr>
          <w:sz w:val="20"/>
          <w:szCs w:val="20"/>
        </w:rPr>
        <w:t xml:space="preserve">a few </w:t>
      </w:r>
      <w:r w:rsidR="00303AE9" w:rsidRPr="007F78BE">
        <w:rPr>
          <w:sz w:val="20"/>
          <w:szCs w:val="20"/>
        </w:rPr>
        <w:t>remaining open issues</w:t>
      </w:r>
      <w:r w:rsidR="00D70AF3" w:rsidRPr="007F78BE">
        <w:rPr>
          <w:sz w:val="20"/>
          <w:szCs w:val="20"/>
        </w:rPr>
        <w:t>.</w:t>
      </w:r>
    </w:p>
    <w:p w14:paraId="4EF4401A" w14:textId="26B6CE40" w:rsidR="004000E8" w:rsidRDefault="00230D18" w:rsidP="00CE0424">
      <w:pPr>
        <w:pStyle w:val="Heading1"/>
      </w:pPr>
      <w:bookmarkStart w:id="0" w:name="_Ref178064866"/>
      <w:r>
        <w:t>2</w:t>
      </w:r>
      <w:r>
        <w:tab/>
      </w:r>
      <w:r w:rsidR="004000E8" w:rsidRPr="00CE0424">
        <w:t>Discussion</w:t>
      </w:r>
      <w:bookmarkEnd w:id="0"/>
    </w:p>
    <w:p w14:paraId="71F3EFEE" w14:textId="3DB379EA" w:rsidR="00B722B2" w:rsidRDefault="00B722B2" w:rsidP="00B722B2">
      <w:pPr>
        <w:pStyle w:val="Heading2"/>
      </w:pPr>
      <w:r>
        <w:t>2.</w:t>
      </w:r>
      <w:r w:rsidR="007A581E">
        <w:t>1</w:t>
      </w:r>
      <w:r>
        <w:tab/>
        <w:t xml:space="preserve">SPS HARQ-ACK </w:t>
      </w:r>
      <w:r w:rsidR="00E9582C">
        <w:t>deferral</w:t>
      </w:r>
    </w:p>
    <w:p w14:paraId="10F1209F" w14:textId="220D38E5" w:rsidR="00385960" w:rsidRPr="007F78BE" w:rsidRDefault="002B07A7" w:rsidP="00FE7376">
      <w:pPr>
        <w:rPr>
          <w:highlight w:val="yellow"/>
        </w:rPr>
      </w:pPr>
      <w:r w:rsidRPr="007F78BE">
        <w:rPr>
          <w:rFonts w:ascii="Arial" w:hAnsi="Arial"/>
          <w:sz w:val="20"/>
          <w:szCs w:val="20"/>
        </w:rPr>
        <w:t xml:space="preserve">SPS HARQ-ACK deferral </w:t>
      </w:r>
      <w:r w:rsidR="00233F4C">
        <w:rPr>
          <w:rFonts w:ascii="Arial" w:hAnsi="Arial"/>
          <w:sz w:val="20"/>
          <w:szCs w:val="20"/>
        </w:rPr>
        <w:t>is</w:t>
      </w:r>
      <w:r w:rsidR="00847302" w:rsidRPr="007F78BE">
        <w:rPr>
          <w:rFonts w:ascii="Arial" w:hAnsi="Arial"/>
          <w:sz w:val="20"/>
          <w:szCs w:val="20"/>
        </w:rPr>
        <w:t xml:space="preserve"> support</w:t>
      </w:r>
      <w:r w:rsidRPr="007F78BE">
        <w:rPr>
          <w:rFonts w:ascii="Arial" w:hAnsi="Arial"/>
          <w:sz w:val="20"/>
          <w:szCs w:val="20"/>
        </w:rPr>
        <w:t>ed to address scenarios of potential SPS HARQ-ACK</w:t>
      </w:r>
      <w:r w:rsidR="00847302" w:rsidRPr="007F78BE">
        <w:rPr>
          <w:rFonts w:ascii="Arial" w:hAnsi="Arial"/>
          <w:sz w:val="20"/>
          <w:szCs w:val="20"/>
        </w:rPr>
        <w:t xml:space="preserve"> </w:t>
      </w:r>
      <w:r w:rsidRPr="007F78BE">
        <w:rPr>
          <w:rFonts w:ascii="Arial" w:hAnsi="Arial"/>
          <w:sz w:val="20"/>
          <w:szCs w:val="20"/>
        </w:rPr>
        <w:t xml:space="preserve">dropping due to </w:t>
      </w:r>
      <w:r w:rsidR="00524810" w:rsidRPr="007F78BE">
        <w:rPr>
          <w:rFonts w:ascii="Arial" w:hAnsi="Arial"/>
          <w:sz w:val="20"/>
          <w:szCs w:val="20"/>
        </w:rPr>
        <w:t xml:space="preserve">TDD pattern </w:t>
      </w:r>
      <w:r w:rsidRPr="007F78BE">
        <w:rPr>
          <w:rFonts w:ascii="Arial" w:hAnsi="Arial"/>
          <w:sz w:val="20"/>
          <w:szCs w:val="20"/>
        </w:rPr>
        <w:t xml:space="preserve">mismatch </w:t>
      </w:r>
      <w:r w:rsidR="00524810" w:rsidRPr="007F78BE">
        <w:rPr>
          <w:rFonts w:ascii="Arial" w:hAnsi="Arial"/>
          <w:sz w:val="20"/>
          <w:szCs w:val="20"/>
        </w:rPr>
        <w:t>with</w:t>
      </w:r>
      <w:r w:rsidRPr="007F78BE">
        <w:rPr>
          <w:rFonts w:ascii="Arial" w:hAnsi="Arial"/>
          <w:sz w:val="20"/>
          <w:szCs w:val="20"/>
        </w:rPr>
        <w:t xml:space="preserve"> SPS periodicity</w:t>
      </w:r>
      <w:r w:rsidR="00524810" w:rsidRPr="007F78BE">
        <w:rPr>
          <w:rFonts w:ascii="Arial" w:hAnsi="Arial"/>
          <w:sz w:val="20"/>
          <w:szCs w:val="20"/>
        </w:rPr>
        <w:t xml:space="preserve"> and </w:t>
      </w:r>
      <w:r w:rsidRPr="007F78BE">
        <w:rPr>
          <w:rFonts w:ascii="Arial" w:hAnsi="Arial"/>
          <w:sz w:val="20"/>
          <w:szCs w:val="20"/>
        </w:rPr>
        <w:t xml:space="preserve">HARQ-ACK timing. </w:t>
      </w:r>
      <w:r w:rsidR="007242A0" w:rsidRPr="007F78BE">
        <w:rPr>
          <w:rFonts w:ascii="Arial" w:hAnsi="Arial"/>
          <w:sz w:val="20"/>
          <w:szCs w:val="20"/>
        </w:rPr>
        <w:t>Several design</w:t>
      </w:r>
      <w:r w:rsidR="002D3B28" w:rsidRPr="007F78BE">
        <w:rPr>
          <w:rFonts w:ascii="Arial" w:hAnsi="Arial"/>
          <w:sz w:val="20"/>
          <w:szCs w:val="20"/>
        </w:rPr>
        <w:t xml:space="preserve"> </w:t>
      </w:r>
      <w:r w:rsidR="003877CE" w:rsidRPr="007F78BE">
        <w:rPr>
          <w:rFonts w:ascii="Arial" w:hAnsi="Arial"/>
          <w:sz w:val="20"/>
          <w:szCs w:val="20"/>
        </w:rPr>
        <w:t xml:space="preserve">aspects were concluded during </w:t>
      </w:r>
      <w:r w:rsidR="00524810" w:rsidRPr="007F78BE">
        <w:rPr>
          <w:rFonts w:ascii="Arial" w:hAnsi="Arial"/>
          <w:sz w:val="20"/>
          <w:szCs w:val="20"/>
        </w:rPr>
        <w:t xml:space="preserve">the past </w:t>
      </w:r>
      <w:r w:rsidR="00F0157C" w:rsidRPr="007F78BE">
        <w:rPr>
          <w:rFonts w:ascii="Arial" w:hAnsi="Arial"/>
          <w:sz w:val="20"/>
          <w:szCs w:val="20"/>
        </w:rPr>
        <w:t xml:space="preserve">RAN1 </w:t>
      </w:r>
      <w:r w:rsidR="00524810" w:rsidRPr="007F78BE">
        <w:rPr>
          <w:rFonts w:ascii="Arial" w:hAnsi="Arial"/>
          <w:sz w:val="20"/>
          <w:szCs w:val="20"/>
        </w:rPr>
        <w:t>meetings</w:t>
      </w:r>
      <w:r w:rsidR="00BD2D5F" w:rsidRPr="007F78BE">
        <w:rPr>
          <w:rFonts w:ascii="Arial" w:hAnsi="Arial"/>
          <w:sz w:val="20"/>
          <w:szCs w:val="20"/>
        </w:rPr>
        <w:t>.</w:t>
      </w:r>
      <w:r w:rsidR="003877CE" w:rsidRPr="007F78BE">
        <w:rPr>
          <w:rFonts w:ascii="Arial" w:hAnsi="Arial"/>
          <w:sz w:val="20"/>
          <w:szCs w:val="20"/>
        </w:rPr>
        <w:t xml:space="preserve"> </w:t>
      </w:r>
      <w:r w:rsidR="001F6953" w:rsidRPr="007F78BE">
        <w:rPr>
          <w:rFonts w:ascii="Arial" w:hAnsi="Arial"/>
          <w:sz w:val="20"/>
          <w:szCs w:val="20"/>
        </w:rPr>
        <w:t xml:space="preserve">In the following, we discuss </w:t>
      </w:r>
      <w:r w:rsidR="007242A0" w:rsidRPr="007F78BE">
        <w:rPr>
          <w:rFonts w:ascii="Arial" w:hAnsi="Arial"/>
          <w:sz w:val="20"/>
          <w:szCs w:val="20"/>
        </w:rPr>
        <w:t>a few</w:t>
      </w:r>
      <w:r w:rsidRPr="007F78BE">
        <w:rPr>
          <w:rFonts w:ascii="Arial" w:hAnsi="Arial"/>
          <w:sz w:val="20"/>
          <w:szCs w:val="20"/>
        </w:rPr>
        <w:t xml:space="preserve"> remaining</w:t>
      </w:r>
      <w:r w:rsidR="00DB16CF" w:rsidRPr="007F78BE">
        <w:rPr>
          <w:rFonts w:ascii="Arial" w:hAnsi="Arial"/>
          <w:sz w:val="20"/>
          <w:szCs w:val="20"/>
        </w:rPr>
        <w:t xml:space="preserve"> </w:t>
      </w:r>
      <w:r w:rsidRPr="007F78BE">
        <w:rPr>
          <w:rFonts w:ascii="Arial" w:hAnsi="Arial"/>
          <w:sz w:val="20"/>
          <w:szCs w:val="20"/>
        </w:rPr>
        <w:t>issues of SPS HARQ-ACK deferral</w:t>
      </w:r>
      <w:r w:rsidR="001F6953" w:rsidRPr="007F78BE">
        <w:rPr>
          <w:rFonts w:ascii="Arial" w:hAnsi="Arial"/>
          <w:sz w:val="20"/>
          <w:szCs w:val="20"/>
        </w:rPr>
        <w:t>.</w:t>
      </w:r>
      <w:bookmarkStart w:id="1" w:name="_Toc61894280"/>
      <w:bookmarkStart w:id="2" w:name="_Toc61897250"/>
      <w:bookmarkStart w:id="3" w:name="_Toc61897915"/>
      <w:bookmarkStart w:id="4" w:name="_Toc61894281"/>
      <w:bookmarkStart w:id="5" w:name="_Toc61897251"/>
      <w:bookmarkStart w:id="6" w:name="_Toc61897916"/>
      <w:bookmarkEnd w:id="1"/>
      <w:bookmarkEnd w:id="2"/>
      <w:bookmarkEnd w:id="3"/>
      <w:bookmarkEnd w:id="4"/>
      <w:bookmarkEnd w:id="5"/>
      <w:bookmarkEnd w:id="6"/>
    </w:p>
    <w:p w14:paraId="73DBD5E5" w14:textId="333B5439" w:rsidR="00974081" w:rsidRPr="00BE2946" w:rsidRDefault="00974081" w:rsidP="00974081">
      <w:pPr>
        <w:pStyle w:val="Heading3"/>
      </w:pPr>
      <w:r w:rsidRPr="00BE2946">
        <w:t>2.</w:t>
      </w:r>
      <w:r w:rsidR="003269C2">
        <w:t>1</w:t>
      </w:r>
      <w:r w:rsidRPr="00BE2946">
        <w:t>.</w:t>
      </w:r>
      <w:r w:rsidR="007F78BE">
        <w:t>1</w:t>
      </w:r>
      <w:r w:rsidRPr="00BE2946">
        <w:tab/>
      </w:r>
      <w:r w:rsidR="00D80DFD">
        <w:t>Interaction with</w:t>
      </w:r>
      <w:r w:rsidR="003269C2">
        <w:t xml:space="preserve"> PUCCH repetition</w:t>
      </w:r>
    </w:p>
    <w:p w14:paraId="52E5DC58" w14:textId="3089FA00" w:rsidR="001A2996" w:rsidRDefault="000A0052" w:rsidP="00A473AC">
      <w:pPr>
        <w:rPr>
          <w:rFonts w:ascii="Arial" w:hAnsi="Arial" w:cs="Arial"/>
          <w:sz w:val="20"/>
          <w:szCs w:val="20"/>
        </w:rPr>
      </w:pPr>
      <w:r w:rsidRPr="007F78BE">
        <w:rPr>
          <w:rFonts w:ascii="Arial" w:hAnsi="Arial" w:cs="Arial"/>
          <w:sz w:val="20"/>
          <w:szCs w:val="20"/>
        </w:rPr>
        <w:t>For unpaired spectrum, w</w:t>
      </w:r>
      <w:r w:rsidR="003269C2" w:rsidRPr="007F78BE">
        <w:rPr>
          <w:rFonts w:ascii="Arial" w:hAnsi="Arial" w:cs="Arial"/>
          <w:sz w:val="20"/>
          <w:szCs w:val="20"/>
        </w:rPr>
        <w:t xml:space="preserve">hen HARQ-ACK is transmitted on PUCCH with repetition, there is already a deferral behavior associated with it by default, i.e., only slots with valid UL resource are counted towards the configured PUCCH repetition numbers. </w:t>
      </w:r>
      <w:r w:rsidR="00126D3E" w:rsidRPr="007F78BE">
        <w:rPr>
          <w:rFonts w:ascii="Arial" w:hAnsi="Arial" w:cs="Arial"/>
          <w:sz w:val="20"/>
          <w:szCs w:val="20"/>
        </w:rPr>
        <w:t>However, from our perspective even both schemes share a common component, they should be treated as separate procedures</w:t>
      </w:r>
      <w:r w:rsidR="00787E39" w:rsidRPr="007F78BE">
        <w:rPr>
          <w:rFonts w:ascii="Arial" w:hAnsi="Arial" w:cs="Arial"/>
          <w:sz w:val="20"/>
          <w:szCs w:val="20"/>
        </w:rPr>
        <w:t xml:space="preserve">. This is not different from other schemes </w:t>
      </w:r>
      <w:r w:rsidR="00B82E37" w:rsidRPr="007F78BE">
        <w:rPr>
          <w:rFonts w:ascii="Arial" w:hAnsi="Arial" w:cs="Arial"/>
          <w:sz w:val="20"/>
          <w:szCs w:val="20"/>
        </w:rPr>
        <w:t>that have some properties in common.</w:t>
      </w:r>
      <w:r w:rsidR="00273431" w:rsidRPr="007F78BE">
        <w:rPr>
          <w:rFonts w:ascii="Arial" w:hAnsi="Arial" w:cs="Arial"/>
          <w:sz w:val="20"/>
          <w:szCs w:val="20"/>
        </w:rPr>
        <w:t xml:space="preserve"> </w:t>
      </w:r>
      <w:r w:rsidR="00B9534A">
        <w:rPr>
          <w:rFonts w:ascii="Arial" w:hAnsi="Arial" w:cs="Arial"/>
          <w:sz w:val="20"/>
          <w:szCs w:val="20"/>
        </w:rPr>
        <w:t>Moreover, the purpose of repetition is to improve coverage</w:t>
      </w:r>
      <w:r w:rsidR="00037B07">
        <w:rPr>
          <w:rFonts w:ascii="Arial" w:hAnsi="Arial" w:cs="Arial"/>
          <w:sz w:val="20"/>
          <w:szCs w:val="20"/>
        </w:rPr>
        <w:t>. When a U</w:t>
      </w:r>
      <w:r w:rsidR="00FA7DD2">
        <w:rPr>
          <w:rFonts w:ascii="Arial" w:hAnsi="Arial" w:cs="Arial"/>
          <w:sz w:val="20"/>
          <w:szCs w:val="20"/>
        </w:rPr>
        <w:t>E needs coverage improvement</w:t>
      </w:r>
      <w:r w:rsidR="00D2007D">
        <w:rPr>
          <w:rFonts w:ascii="Arial" w:hAnsi="Arial" w:cs="Arial"/>
          <w:sz w:val="20"/>
          <w:szCs w:val="20"/>
        </w:rPr>
        <w:t xml:space="preserve"> for PUCCH</w:t>
      </w:r>
      <w:r w:rsidR="00FA7DD2">
        <w:rPr>
          <w:rFonts w:ascii="Arial" w:hAnsi="Arial" w:cs="Arial"/>
          <w:sz w:val="20"/>
          <w:szCs w:val="20"/>
        </w:rPr>
        <w:t>,</w:t>
      </w:r>
      <w:r w:rsidR="00D2007D">
        <w:rPr>
          <w:rFonts w:ascii="Arial" w:hAnsi="Arial" w:cs="Arial"/>
          <w:sz w:val="20"/>
          <w:szCs w:val="20"/>
        </w:rPr>
        <w:t xml:space="preserve"> </w:t>
      </w:r>
      <w:r w:rsidR="00A6016E">
        <w:rPr>
          <w:rFonts w:ascii="Arial" w:hAnsi="Arial" w:cs="Arial"/>
          <w:sz w:val="20"/>
          <w:szCs w:val="20"/>
        </w:rPr>
        <w:t xml:space="preserve">specially for HARQ-ACK information, it </w:t>
      </w:r>
      <w:r w:rsidR="005512CE">
        <w:rPr>
          <w:rFonts w:ascii="Arial" w:hAnsi="Arial" w:cs="Arial"/>
          <w:sz w:val="20"/>
          <w:szCs w:val="20"/>
        </w:rPr>
        <w:t>is not reasonable to exclude HRQ-ACK for DL SPS</w:t>
      </w:r>
      <w:r w:rsidR="006C61BF">
        <w:rPr>
          <w:rFonts w:ascii="Arial" w:hAnsi="Arial" w:cs="Arial"/>
          <w:sz w:val="20"/>
          <w:szCs w:val="20"/>
        </w:rPr>
        <w:t xml:space="preserve"> and effectively </w:t>
      </w:r>
      <w:r w:rsidR="00404D71">
        <w:rPr>
          <w:rFonts w:ascii="Arial" w:hAnsi="Arial" w:cs="Arial"/>
          <w:sz w:val="20"/>
          <w:szCs w:val="20"/>
        </w:rPr>
        <w:t xml:space="preserve">limiting the usage of DL SPS HARQ-ACK. </w:t>
      </w:r>
      <w:r w:rsidR="00314D67">
        <w:rPr>
          <w:rFonts w:ascii="Arial" w:hAnsi="Arial" w:cs="Arial"/>
          <w:sz w:val="20"/>
          <w:szCs w:val="20"/>
        </w:rPr>
        <w:t xml:space="preserve">Therefore, </w:t>
      </w:r>
      <w:r w:rsidR="00FB70A5">
        <w:rPr>
          <w:rFonts w:ascii="Arial" w:hAnsi="Arial" w:cs="Arial"/>
          <w:sz w:val="20"/>
          <w:szCs w:val="20"/>
        </w:rPr>
        <w:t xml:space="preserve">repetition should be supported and find </w:t>
      </w:r>
      <w:r w:rsidR="00A31119">
        <w:rPr>
          <w:rFonts w:ascii="Arial" w:hAnsi="Arial" w:cs="Arial"/>
          <w:sz w:val="20"/>
          <w:szCs w:val="20"/>
        </w:rPr>
        <w:t xml:space="preserve">simple and clean solutions </w:t>
      </w:r>
      <w:r w:rsidR="00937AD3">
        <w:rPr>
          <w:rFonts w:ascii="Arial" w:hAnsi="Arial" w:cs="Arial"/>
          <w:sz w:val="20"/>
          <w:szCs w:val="20"/>
        </w:rPr>
        <w:t xml:space="preserve">for addressing potential </w:t>
      </w:r>
      <w:r w:rsidR="00FB70A5">
        <w:rPr>
          <w:rFonts w:ascii="Arial" w:hAnsi="Arial" w:cs="Arial"/>
          <w:sz w:val="20"/>
          <w:szCs w:val="20"/>
        </w:rPr>
        <w:t>issues</w:t>
      </w:r>
      <w:r w:rsidR="00937AD3">
        <w:rPr>
          <w:rFonts w:ascii="Arial" w:hAnsi="Arial" w:cs="Arial"/>
          <w:sz w:val="20"/>
          <w:szCs w:val="20"/>
        </w:rPr>
        <w:t>.</w:t>
      </w:r>
      <w:r w:rsidR="00FB70A5">
        <w:rPr>
          <w:rFonts w:ascii="Arial" w:hAnsi="Arial" w:cs="Arial"/>
          <w:sz w:val="20"/>
          <w:szCs w:val="20"/>
        </w:rPr>
        <w:t xml:space="preserve"> </w:t>
      </w:r>
    </w:p>
    <w:p w14:paraId="0B7E667D" w14:textId="56E479BC" w:rsidR="00560E73" w:rsidRPr="007F78BE" w:rsidRDefault="00560E73" w:rsidP="00560E73">
      <w:pPr>
        <w:pStyle w:val="Proposal"/>
        <w:rPr>
          <w:sz w:val="20"/>
          <w:szCs w:val="20"/>
        </w:rPr>
      </w:pPr>
      <w:bookmarkStart w:id="7" w:name="_Toc90551159"/>
      <w:bookmarkStart w:id="8" w:name="_Toc90551573"/>
      <w:bookmarkStart w:id="9" w:name="_Toc90551681"/>
      <w:bookmarkStart w:id="10" w:name="_Toc90551930"/>
      <w:bookmarkStart w:id="11" w:name="_Toc90551978"/>
      <w:bookmarkStart w:id="12" w:name="_Toc90552024"/>
      <w:bookmarkStart w:id="13" w:name="_Toc90552270"/>
      <w:bookmarkStart w:id="14" w:name="_Toc90552428"/>
      <w:bookmarkStart w:id="15" w:name="_Toc90552505"/>
      <w:bookmarkStart w:id="16" w:name="_Toc90551160"/>
      <w:bookmarkStart w:id="17" w:name="_Toc90551574"/>
      <w:bookmarkStart w:id="18" w:name="_Toc90551682"/>
      <w:bookmarkStart w:id="19" w:name="_Toc90551931"/>
      <w:bookmarkStart w:id="20" w:name="_Toc90551979"/>
      <w:bookmarkStart w:id="21" w:name="_Toc90552025"/>
      <w:bookmarkStart w:id="22" w:name="_Toc90552271"/>
      <w:bookmarkStart w:id="23" w:name="_Toc90552429"/>
      <w:bookmarkStart w:id="24" w:name="_Toc90552506"/>
      <w:bookmarkStart w:id="25" w:name="_Toc90551161"/>
      <w:bookmarkStart w:id="26" w:name="_Toc90551575"/>
      <w:bookmarkStart w:id="27" w:name="_Toc90551683"/>
      <w:bookmarkStart w:id="28" w:name="_Toc90551932"/>
      <w:bookmarkStart w:id="29" w:name="_Toc90551980"/>
      <w:bookmarkStart w:id="30" w:name="_Toc90552026"/>
      <w:bookmarkStart w:id="31" w:name="_Toc90552272"/>
      <w:bookmarkStart w:id="32" w:name="_Toc90552430"/>
      <w:bookmarkStart w:id="33" w:name="_Toc90552507"/>
      <w:bookmarkStart w:id="34" w:name="_Toc909129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7F78BE">
        <w:rPr>
          <w:sz w:val="20"/>
          <w:szCs w:val="20"/>
        </w:rPr>
        <w:t xml:space="preserve">HARQ-ACK DL SPS deferral and </w:t>
      </w:r>
      <w:r w:rsidR="00BF0157" w:rsidRPr="007F78BE">
        <w:rPr>
          <w:sz w:val="20"/>
          <w:szCs w:val="20"/>
        </w:rPr>
        <w:t>PUCCH repetition can be simultaneously configured.</w:t>
      </w:r>
      <w:bookmarkEnd w:id="34"/>
    </w:p>
    <w:p w14:paraId="5FD0767C" w14:textId="347D4577" w:rsidR="00BF0157" w:rsidRPr="007F78BE" w:rsidRDefault="00BF0157" w:rsidP="000D1997">
      <w:pPr>
        <w:pStyle w:val="Proposal"/>
        <w:numPr>
          <w:ilvl w:val="0"/>
          <w:numId w:val="0"/>
        </w:numPr>
        <w:ind w:left="1701"/>
        <w:rPr>
          <w:sz w:val="20"/>
          <w:szCs w:val="20"/>
        </w:rPr>
      </w:pPr>
    </w:p>
    <w:p w14:paraId="2AD870ED" w14:textId="6D8D489F" w:rsidR="003E01C6" w:rsidRPr="00932B19" w:rsidRDefault="00937AD3" w:rsidP="003E01C6">
      <w:pPr>
        <w:rPr>
          <w:rFonts w:ascii="Arial" w:hAnsi="Arial" w:cs="Arial"/>
          <w:sz w:val="20"/>
          <w:szCs w:val="20"/>
        </w:rPr>
      </w:pPr>
      <w:r w:rsidRPr="00932B19">
        <w:rPr>
          <w:rFonts w:ascii="Arial" w:hAnsi="Arial" w:cs="Arial"/>
          <w:sz w:val="20"/>
          <w:szCs w:val="20"/>
        </w:rPr>
        <w:t xml:space="preserve">With respect to </w:t>
      </w:r>
      <w:r w:rsidR="00336E8C" w:rsidRPr="00932B19">
        <w:rPr>
          <w:rFonts w:ascii="Arial" w:hAnsi="Arial" w:cs="Arial"/>
          <w:sz w:val="20"/>
          <w:szCs w:val="20"/>
        </w:rPr>
        <w:t xml:space="preserve">alternative </w:t>
      </w:r>
      <w:r w:rsidR="00507C20" w:rsidRPr="00932B19">
        <w:rPr>
          <w:rFonts w:ascii="Arial" w:hAnsi="Arial" w:cs="Arial"/>
          <w:sz w:val="20"/>
          <w:szCs w:val="20"/>
        </w:rPr>
        <w:t>solutions discussed so far, c</w:t>
      </w:r>
      <w:r w:rsidR="003E01C6" w:rsidRPr="00932B19">
        <w:rPr>
          <w:rFonts w:ascii="Arial" w:hAnsi="Arial" w:cs="Arial"/>
          <w:sz w:val="20"/>
          <w:szCs w:val="20"/>
        </w:rPr>
        <w:t>ompanies preferred two alternatives last meetings listed below as Alt</w:t>
      </w:r>
      <w:r w:rsidR="00B26C5F" w:rsidRPr="00932B19">
        <w:rPr>
          <w:rFonts w:ascii="Arial" w:hAnsi="Arial" w:cs="Arial"/>
          <w:sz w:val="20"/>
          <w:szCs w:val="20"/>
        </w:rPr>
        <w:t>.</w:t>
      </w:r>
      <w:r w:rsidR="003E01C6" w:rsidRPr="00932B19">
        <w:rPr>
          <w:rFonts w:ascii="Arial" w:hAnsi="Arial" w:cs="Arial"/>
          <w:sz w:val="20"/>
          <w:szCs w:val="20"/>
        </w:rPr>
        <w:t>1 and Alt.3</w:t>
      </w:r>
      <w:r w:rsidR="00B26C5F" w:rsidRPr="00932B19">
        <w:rPr>
          <w:rFonts w:ascii="Arial" w:hAnsi="Arial" w:cs="Arial"/>
          <w:sz w:val="20"/>
          <w:szCs w:val="20"/>
        </w:rPr>
        <w:t xml:space="preserve"> that are co</w:t>
      </w:r>
      <w:r w:rsidR="00715D98" w:rsidRPr="00932B19">
        <w:rPr>
          <w:rFonts w:ascii="Arial" w:hAnsi="Arial" w:cs="Arial"/>
          <w:sz w:val="20"/>
          <w:szCs w:val="20"/>
        </w:rPr>
        <w:t>p</w:t>
      </w:r>
      <w:r w:rsidR="000549C2" w:rsidRPr="00932B19">
        <w:rPr>
          <w:rFonts w:ascii="Arial" w:hAnsi="Arial" w:cs="Arial"/>
          <w:sz w:val="20"/>
          <w:szCs w:val="20"/>
        </w:rPr>
        <w:t xml:space="preserve">ied below for </w:t>
      </w:r>
      <w:r w:rsidR="00541D8C" w:rsidRPr="00932B19">
        <w:rPr>
          <w:rFonts w:ascii="Arial" w:hAnsi="Arial" w:cs="Arial"/>
          <w:sz w:val="20"/>
          <w:szCs w:val="20"/>
        </w:rPr>
        <w:t>convenience</w:t>
      </w:r>
    </w:p>
    <w:tbl>
      <w:tblPr>
        <w:tblStyle w:val="TableGrid"/>
        <w:tblW w:w="0" w:type="auto"/>
        <w:tblLook w:val="04A0" w:firstRow="1" w:lastRow="0" w:firstColumn="1" w:lastColumn="0" w:noHBand="0" w:noVBand="1"/>
      </w:tblPr>
      <w:tblGrid>
        <w:gridCol w:w="9629"/>
      </w:tblGrid>
      <w:tr w:rsidR="003E01C6" w:rsidRPr="00034F56" w14:paraId="756004FC" w14:textId="77777777" w:rsidTr="00AD24BC">
        <w:tc>
          <w:tcPr>
            <w:tcW w:w="9629" w:type="dxa"/>
          </w:tcPr>
          <w:p w14:paraId="4C71058B" w14:textId="77777777" w:rsidR="003E01C6" w:rsidRPr="00034F56" w:rsidRDefault="003E01C6" w:rsidP="00AD24BC">
            <w:pPr>
              <w:spacing w:after="0"/>
              <w:rPr>
                <w:b/>
              </w:rPr>
            </w:pPr>
            <w:r w:rsidRPr="00034F56">
              <w:rPr>
                <w:b/>
                <w:color w:val="FF0000"/>
              </w:rPr>
              <w:t xml:space="preserve">Mod2 </w:t>
            </w:r>
            <w:r w:rsidRPr="00034F56">
              <w:rPr>
                <w:b/>
              </w:rPr>
              <w:t xml:space="preserve">Proposal </w:t>
            </w:r>
            <w:r w:rsidRPr="00034F56">
              <w:rPr>
                <w:b/>
                <w:bCs/>
              </w:rPr>
              <w:t>2.2.4</w:t>
            </w:r>
            <w:r w:rsidRPr="00034F56">
              <w:rPr>
                <w:b/>
              </w:rPr>
              <w:t xml:space="preserve">: Support the simultaneous configuration of SPS HARQ deferral and PUCCH repetition and further down-select from Alt. 1 or Alt. 3:  </w:t>
            </w:r>
          </w:p>
          <w:p w14:paraId="26EE9058" w14:textId="77777777" w:rsidR="003E01C6" w:rsidRDefault="003E01C6" w:rsidP="00AD24BC">
            <w:pPr>
              <w:pStyle w:val="ListParagraph"/>
              <w:numPr>
                <w:ilvl w:val="0"/>
                <w:numId w:val="77"/>
              </w:numPr>
              <w:spacing w:line="256" w:lineRule="auto"/>
              <w:ind w:left="436"/>
              <w:contextualSpacing/>
              <w:jc w:val="both"/>
              <w:rPr>
                <w:rFonts w:eastAsiaTheme="minorEastAsia"/>
                <w:b/>
                <w:lang w:eastAsia="ko-KR"/>
              </w:rPr>
            </w:pPr>
            <w:r>
              <w:rPr>
                <w:rFonts w:eastAsiaTheme="minorEastAsia"/>
                <w:b/>
                <w:lang w:eastAsia="ko-KR"/>
              </w:rPr>
              <w:t xml:space="preserve">Alt. 1: </w:t>
            </w:r>
          </w:p>
          <w:p w14:paraId="29245A8F" w14:textId="77777777" w:rsidR="003E01C6" w:rsidRPr="004B23A0" w:rsidRDefault="003E01C6" w:rsidP="00AD24BC">
            <w:pPr>
              <w:pStyle w:val="ListParagraph"/>
              <w:numPr>
                <w:ilvl w:val="1"/>
                <w:numId w:val="77"/>
              </w:numPr>
              <w:spacing w:line="256" w:lineRule="auto"/>
              <w:contextualSpacing/>
              <w:jc w:val="both"/>
              <w:rPr>
                <w:rFonts w:eastAsiaTheme="minorEastAsia"/>
                <w:b/>
                <w:lang w:eastAsia="ko-KR"/>
              </w:rPr>
            </w:pPr>
            <w:r w:rsidRPr="004B23A0">
              <w:rPr>
                <w:rFonts w:eastAsiaTheme="minorEastAsia"/>
                <w:b/>
                <w:lang w:eastAsia="ko-KR"/>
              </w:rPr>
              <w:t xml:space="preserve">If the PUCCH format or PUCCH resource in the initial slot has a PUCCH repetition factor larger than 1, the PUCCH repetition for SPS HARQ-ACKs follows the R16 </w:t>
            </w:r>
            <w:r>
              <w:rPr>
                <w:rFonts w:eastAsiaTheme="minorEastAsia"/>
                <w:b/>
                <w:lang w:eastAsia="ko-KR"/>
              </w:rPr>
              <w:t xml:space="preserve">PUCCH repetition </w:t>
            </w:r>
            <w:r w:rsidRPr="004B23A0">
              <w:rPr>
                <w:rFonts w:eastAsiaTheme="minorEastAsia"/>
                <w:b/>
                <w:lang w:eastAsia="ko-KR"/>
              </w:rPr>
              <w:t>rule without considering the rules of SPS HARQ deferral.</w:t>
            </w:r>
          </w:p>
          <w:p w14:paraId="72B2EA93" w14:textId="77777777" w:rsidR="003E01C6" w:rsidRPr="004B23A0" w:rsidRDefault="003E01C6" w:rsidP="00AD24BC">
            <w:pPr>
              <w:pStyle w:val="ListParagraph"/>
              <w:numPr>
                <w:ilvl w:val="1"/>
                <w:numId w:val="77"/>
              </w:numPr>
              <w:spacing w:line="256" w:lineRule="auto"/>
              <w:contextualSpacing/>
              <w:jc w:val="both"/>
              <w:rPr>
                <w:rFonts w:eastAsiaTheme="minorEastAsia"/>
                <w:b/>
                <w:bCs/>
                <w:lang w:eastAsia="ko-KR"/>
              </w:rPr>
            </w:pPr>
            <w:r w:rsidRPr="0DCEA532">
              <w:rPr>
                <w:rFonts w:eastAsiaTheme="minorEastAsia"/>
                <w:b/>
                <w:bCs/>
                <w:lang w:eastAsia="ko-KR"/>
              </w:rPr>
              <w:lastRenderedPageBreak/>
              <w:t xml:space="preserve">In case the </w:t>
            </w:r>
            <w:r w:rsidRPr="00B56A9E">
              <w:rPr>
                <w:rFonts w:eastAsiaTheme="minorEastAsia"/>
                <w:b/>
                <w:bCs/>
                <w:lang w:eastAsia="ko-KR"/>
              </w:rPr>
              <w:t xml:space="preserve">PUCCH </w:t>
            </w:r>
            <w:r w:rsidRPr="00B56A9E">
              <w:rPr>
                <w:rFonts w:eastAsiaTheme="minorEastAsia"/>
                <w:b/>
                <w:bCs/>
                <w:strike/>
                <w:color w:val="FF0000"/>
                <w:lang w:eastAsia="ko-KR"/>
              </w:rPr>
              <w:t>indicated</w:t>
            </w:r>
            <w:r w:rsidRPr="00B56A9E">
              <w:rPr>
                <w:rFonts w:eastAsiaTheme="minorEastAsia"/>
                <w:b/>
                <w:bCs/>
                <w:color w:val="FF0000"/>
                <w:lang w:eastAsia="ko-KR"/>
              </w:rPr>
              <w:t xml:space="preserve"> </w:t>
            </w:r>
            <w:r w:rsidRPr="00B56A9E">
              <w:rPr>
                <w:rFonts w:eastAsiaTheme="minorEastAsia"/>
                <w:b/>
                <w:bCs/>
                <w:lang w:eastAsia="ko-KR"/>
              </w:rPr>
              <w:t>in th</w:t>
            </w:r>
            <w:r w:rsidRPr="0DCEA532">
              <w:rPr>
                <w:rFonts w:eastAsiaTheme="minorEastAsia"/>
                <w:b/>
                <w:bCs/>
                <w:lang w:eastAsia="ko-KR"/>
              </w:rPr>
              <w:t xml:space="preserve">e initial slot does not have a </w:t>
            </w:r>
            <w:r w:rsidRPr="00B56A9E">
              <w:rPr>
                <w:rFonts w:eastAsiaTheme="minorEastAsia"/>
                <w:b/>
                <w:bCs/>
                <w:color w:val="FF0000"/>
                <w:lang w:eastAsia="ko-KR"/>
              </w:rPr>
              <w:t xml:space="preserve">PUCCH </w:t>
            </w:r>
            <w:r w:rsidRPr="0DCEA532">
              <w:rPr>
                <w:rFonts w:eastAsiaTheme="minorEastAsia"/>
                <w:b/>
                <w:bCs/>
                <w:lang w:eastAsia="ko-KR"/>
              </w:rPr>
              <w:t xml:space="preserve">repetition factor larger than 1, the SPS HARQ-ACK deferral rules for the initial slot apply. If the SPS HARQ from the initial PUCCH slot is subject </w:t>
            </w:r>
            <w:r w:rsidRPr="00B56A9E">
              <w:rPr>
                <w:rFonts w:eastAsiaTheme="minorEastAsia"/>
                <w:b/>
                <w:bCs/>
                <w:color w:val="FF0000"/>
                <w:lang w:eastAsia="ko-KR"/>
              </w:rPr>
              <w:t xml:space="preserve">to </w:t>
            </w:r>
            <w:r w:rsidRPr="0DCEA532">
              <w:rPr>
                <w:rFonts w:eastAsiaTheme="minorEastAsia"/>
                <w:b/>
                <w:bCs/>
                <w:lang w:eastAsia="ko-KR"/>
              </w:rPr>
              <w:t xml:space="preserve">deferral, the UE proceeds to determine a target PUCCH slot as per the specified R17 SPS HARQ deferral procedure. </w:t>
            </w:r>
          </w:p>
          <w:p w14:paraId="54DE064F" w14:textId="77777777" w:rsidR="003E01C6" w:rsidRPr="004B23A0" w:rsidRDefault="003E01C6" w:rsidP="00AD24BC">
            <w:pPr>
              <w:pStyle w:val="ListParagraph"/>
              <w:numPr>
                <w:ilvl w:val="2"/>
                <w:numId w:val="77"/>
              </w:numPr>
              <w:spacing w:line="256" w:lineRule="auto"/>
              <w:contextualSpacing/>
              <w:jc w:val="both"/>
              <w:rPr>
                <w:rFonts w:eastAsiaTheme="minorEastAsia"/>
                <w:b/>
                <w:bCs/>
                <w:lang w:eastAsia="ko-KR"/>
              </w:rPr>
            </w:pPr>
            <w:r w:rsidRPr="004B23A0">
              <w:rPr>
                <w:rFonts w:eastAsiaTheme="minorEastAsia"/>
                <w:b/>
                <w:bCs/>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b/>
                      <w:bCs/>
                      <w:lang w:eastAsia="ko-KR"/>
                    </w:rPr>
                  </m:ctrlPr>
                </m:sSubSupPr>
                <m:e>
                  <m:r>
                    <m:rPr>
                      <m:sty m:val="bi"/>
                    </m:rPr>
                    <w:rPr>
                      <w:rFonts w:ascii="Cambria Math" w:eastAsiaTheme="minorEastAsia" w:hAnsi="Cambria Math"/>
                      <w:lang w:eastAsia="ko-KR"/>
                    </w:rPr>
                    <m:t>N</m:t>
                  </m:r>
                </m:e>
                <m:sub>
                  <m:r>
                    <m:rPr>
                      <m:nor/>
                    </m:rPr>
                    <w:rPr>
                      <w:rFonts w:eastAsiaTheme="minorEastAsia"/>
                      <w:b/>
                      <w:bCs/>
                      <w:lang w:eastAsia="ko-KR"/>
                    </w:rPr>
                    <m:t>PUCCH</m:t>
                  </m:r>
                </m:sub>
                <m:sup>
                  <m:r>
                    <m:rPr>
                      <m:nor/>
                    </m:rPr>
                    <w:rPr>
                      <w:rFonts w:eastAsiaTheme="minorEastAsia"/>
                      <w:b/>
                      <w:bCs/>
                      <w:lang w:eastAsia="ko-KR"/>
                    </w:rPr>
                    <m:t>repeat</m:t>
                  </m:r>
                </m:sup>
              </m:sSubSup>
            </m:oMath>
            <w:r w:rsidRPr="004B23A0">
              <w:rPr>
                <w:rFonts w:eastAsiaTheme="minorEastAsia"/>
                <w:b/>
                <w:bCs/>
                <w:lang w:eastAsia="ko-KR"/>
              </w:rPr>
              <w:t xml:space="preserve">&gt;1 repetitions take place starting from the target PUCCH slot using the Rel-16 PUCCH repetition procedure without considering the maximum SPS HARQ deferral limitation </w:t>
            </w:r>
            <w:r w:rsidRPr="00DA7994">
              <w:rPr>
                <w:rFonts w:eastAsiaTheme="minorEastAsia"/>
                <w:b/>
                <w:bCs/>
                <w:strike/>
                <w:color w:val="00B050"/>
                <w:lang w:eastAsia="ko-KR"/>
              </w:rPr>
              <w:t>any further</w:t>
            </w:r>
            <w:r>
              <w:rPr>
                <w:rFonts w:eastAsiaTheme="minorEastAsia"/>
                <w:b/>
                <w:bCs/>
                <w:strike/>
                <w:color w:val="00B050"/>
                <w:lang w:eastAsia="ko-KR"/>
              </w:rPr>
              <w:t xml:space="preserve"> </w:t>
            </w:r>
            <w:r w:rsidRPr="00DA7994">
              <w:rPr>
                <w:rFonts w:eastAsiaTheme="minorEastAsia"/>
                <w:b/>
                <w:bCs/>
                <w:color w:val="00B050"/>
                <w:lang w:eastAsia="ko-KR"/>
              </w:rPr>
              <w:t>after the first PUCCH repetition</w:t>
            </w:r>
            <w:r w:rsidRPr="004B23A0">
              <w:rPr>
                <w:rFonts w:eastAsiaTheme="minorEastAsia"/>
                <w:b/>
                <w:bCs/>
                <w:lang w:eastAsia="ko-KR"/>
              </w:rPr>
              <w:t>.</w:t>
            </w:r>
          </w:p>
          <w:p w14:paraId="64A4D6BE" w14:textId="77777777" w:rsidR="003E01C6" w:rsidRPr="00D5687D" w:rsidRDefault="003E01C6" w:rsidP="00AD24BC">
            <w:pPr>
              <w:pStyle w:val="ListParagraph"/>
              <w:numPr>
                <w:ilvl w:val="0"/>
                <w:numId w:val="77"/>
              </w:numPr>
              <w:spacing w:line="256" w:lineRule="auto"/>
              <w:ind w:left="436"/>
              <w:contextualSpacing/>
              <w:jc w:val="both"/>
              <w:rPr>
                <w:rFonts w:eastAsiaTheme="minorEastAsia"/>
                <w:b/>
                <w:lang w:eastAsia="ko-KR"/>
              </w:rPr>
            </w:pPr>
            <w:r w:rsidRPr="00D5687D">
              <w:rPr>
                <w:rFonts w:eastAsiaTheme="minorEastAsia"/>
                <w:b/>
                <w:lang w:eastAsia="ko-KR"/>
              </w:rPr>
              <w:t>Alt. 3:</w:t>
            </w:r>
          </w:p>
          <w:p w14:paraId="22CF3342" w14:textId="77777777" w:rsidR="003E01C6" w:rsidRPr="004B23A0" w:rsidRDefault="003E01C6" w:rsidP="00AD24BC">
            <w:pPr>
              <w:pStyle w:val="ListParagraph"/>
              <w:numPr>
                <w:ilvl w:val="1"/>
                <w:numId w:val="77"/>
              </w:numPr>
              <w:spacing w:line="256" w:lineRule="auto"/>
              <w:contextualSpacing/>
              <w:jc w:val="both"/>
              <w:rPr>
                <w:rFonts w:eastAsiaTheme="minorEastAsia"/>
                <w:b/>
                <w:bCs/>
                <w:lang w:eastAsia="ko-KR"/>
              </w:rPr>
            </w:pPr>
            <w:r w:rsidRPr="0DCEA532">
              <w:rPr>
                <w:rFonts w:eastAsiaTheme="minorEastAsia"/>
                <w:b/>
                <w:bCs/>
                <w:lang w:eastAsia="ko-KR"/>
              </w:rPr>
              <w:t xml:space="preserve">If the SPS HARQ from the initial PUCCH slot is subject </w:t>
            </w:r>
            <w:r w:rsidRPr="00B56A9E">
              <w:rPr>
                <w:rFonts w:eastAsiaTheme="minorEastAsia"/>
                <w:b/>
                <w:bCs/>
                <w:color w:val="FF0000"/>
                <w:lang w:eastAsia="ko-KR"/>
              </w:rPr>
              <w:t xml:space="preserve">to </w:t>
            </w:r>
            <w:r w:rsidRPr="0DCEA532">
              <w:rPr>
                <w:rFonts w:eastAsiaTheme="minorEastAsia"/>
                <w:b/>
                <w:bCs/>
                <w:lang w:eastAsia="ko-KR"/>
              </w:rPr>
              <w:t>deferral, the UE proceeds to determine a target PUCCH slot as per the specified R17 SPS HARQ deferral procedure</w:t>
            </w:r>
            <w:r>
              <w:rPr>
                <w:rFonts w:eastAsiaTheme="minorEastAsia"/>
                <w:b/>
                <w:bCs/>
                <w:lang w:eastAsia="ko-KR"/>
              </w:rPr>
              <w:t xml:space="preserve"> </w:t>
            </w:r>
            <w:r w:rsidRPr="00D5687D">
              <w:rPr>
                <w:rFonts w:hint="eastAsia"/>
                <w:b/>
                <w:bCs/>
                <w:color w:val="7030A0"/>
              </w:rPr>
              <w:t xml:space="preserve">without taking </w:t>
            </w:r>
            <w:r>
              <w:rPr>
                <w:b/>
                <w:bCs/>
                <w:color w:val="7030A0"/>
              </w:rPr>
              <w:t xml:space="preserve">a potential </w:t>
            </w:r>
            <w:r w:rsidRPr="00D5687D">
              <w:rPr>
                <w:rFonts w:hint="eastAsia"/>
                <w:b/>
                <w:bCs/>
                <w:color w:val="7030A0"/>
              </w:rPr>
              <w:t xml:space="preserve">PUCCH repetition </w:t>
            </w:r>
            <w:r>
              <w:rPr>
                <w:b/>
                <w:bCs/>
                <w:color w:val="7030A0"/>
              </w:rPr>
              <w:t xml:space="preserve">in the initial slot </w:t>
            </w:r>
            <w:r w:rsidRPr="00D5687D">
              <w:rPr>
                <w:rFonts w:hint="eastAsia"/>
                <w:b/>
                <w:bCs/>
                <w:color w:val="7030A0"/>
              </w:rPr>
              <w:t>into account</w:t>
            </w:r>
            <w:r w:rsidRPr="0DCEA532">
              <w:rPr>
                <w:rFonts w:eastAsiaTheme="minorEastAsia"/>
                <w:b/>
                <w:bCs/>
                <w:lang w:eastAsia="ko-KR"/>
              </w:rPr>
              <w:t xml:space="preserve">. </w:t>
            </w:r>
          </w:p>
          <w:p w14:paraId="01EE249A" w14:textId="77777777" w:rsidR="003E01C6" w:rsidRPr="004B23A0" w:rsidRDefault="003E01C6" w:rsidP="00AD24BC">
            <w:pPr>
              <w:pStyle w:val="ListParagraph"/>
              <w:numPr>
                <w:ilvl w:val="2"/>
                <w:numId w:val="77"/>
              </w:numPr>
              <w:spacing w:line="256" w:lineRule="auto"/>
              <w:contextualSpacing/>
              <w:jc w:val="both"/>
              <w:rPr>
                <w:rFonts w:eastAsiaTheme="minorEastAsia"/>
                <w:b/>
                <w:bCs/>
                <w:lang w:eastAsia="ko-KR"/>
              </w:rPr>
            </w:pPr>
            <w:r w:rsidRPr="004B23A0">
              <w:rPr>
                <w:rFonts w:eastAsiaTheme="minorEastAsia"/>
                <w:b/>
                <w:bCs/>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b/>
                      <w:bCs/>
                      <w:lang w:eastAsia="ko-KR"/>
                    </w:rPr>
                  </m:ctrlPr>
                </m:sSubSupPr>
                <m:e>
                  <m:r>
                    <m:rPr>
                      <m:sty m:val="bi"/>
                    </m:rPr>
                    <w:rPr>
                      <w:rFonts w:ascii="Cambria Math" w:eastAsiaTheme="minorEastAsia" w:hAnsi="Cambria Math"/>
                      <w:lang w:eastAsia="ko-KR"/>
                    </w:rPr>
                    <m:t>N</m:t>
                  </m:r>
                </m:e>
                <m:sub>
                  <m:r>
                    <m:rPr>
                      <m:nor/>
                    </m:rPr>
                    <w:rPr>
                      <w:rFonts w:eastAsiaTheme="minorEastAsia"/>
                      <w:b/>
                      <w:bCs/>
                      <w:lang w:eastAsia="ko-KR"/>
                    </w:rPr>
                    <m:t>PUCCH</m:t>
                  </m:r>
                </m:sub>
                <m:sup>
                  <m:r>
                    <m:rPr>
                      <m:nor/>
                    </m:rPr>
                    <w:rPr>
                      <w:rFonts w:eastAsiaTheme="minorEastAsia"/>
                      <w:b/>
                      <w:bCs/>
                      <w:lang w:eastAsia="ko-KR"/>
                    </w:rPr>
                    <m:t>repeat</m:t>
                  </m:r>
                </m:sup>
              </m:sSubSup>
            </m:oMath>
            <w:r w:rsidRPr="004B23A0">
              <w:rPr>
                <w:rFonts w:eastAsiaTheme="minorEastAsia"/>
                <w:b/>
                <w:bCs/>
                <w:lang w:eastAsia="ko-KR"/>
              </w:rPr>
              <w:t xml:space="preserve">&gt;1 repetitions take place starting from the target PUCCH slot using the Rel-16 PUCCH repetition procedure without considering the maximum SPS HARQ deferral limitation </w:t>
            </w:r>
            <w:r w:rsidRPr="00DA7994">
              <w:rPr>
                <w:rFonts w:eastAsiaTheme="minorEastAsia"/>
                <w:b/>
                <w:bCs/>
                <w:strike/>
                <w:color w:val="00B050"/>
                <w:lang w:eastAsia="ko-KR"/>
              </w:rPr>
              <w:t>any further</w:t>
            </w:r>
            <w:r>
              <w:rPr>
                <w:rFonts w:eastAsiaTheme="minorEastAsia"/>
                <w:b/>
                <w:bCs/>
                <w:strike/>
                <w:color w:val="00B050"/>
                <w:lang w:eastAsia="ko-KR"/>
              </w:rPr>
              <w:t xml:space="preserve"> </w:t>
            </w:r>
            <w:r w:rsidRPr="00DA7994">
              <w:rPr>
                <w:rFonts w:eastAsiaTheme="minorEastAsia"/>
                <w:b/>
                <w:bCs/>
                <w:color w:val="00B050"/>
                <w:lang w:eastAsia="ko-KR"/>
              </w:rPr>
              <w:t>after the first PUCCH repetition</w:t>
            </w:r>
            <w:r w:rsidRPr="004B23A0">
              <w:rPr>
                <w:rFonts w:eastAsiaTheme="minorEastAsia"/>
                <w:b/>
                <w:bCs/>
                <w:lang w:eastAsia="ko-KR"/>
              </w:rPr>
              <w:t>.</w:t>
            </w:r>
          </w:p>
          <w:p w14:paraId="27FECF36" w14:textId="77777777" w:rsidR="003E01C6" w:rsidRDefault="003E01C6" w:rsidP="00AD24BC">
            <w:pPr>
              <w:rPr>
                <w:rFonts w:ascii="Arial" w:hAnsi="Arial" w:cs="Arial"/>
                <w:sz w:val="20"/>
                <w:szCs w:val="20"/>
              </w:rPr>
            </w:pPr>
          </w:p>
        </w:tc>
      </w:tr>
    </w:tbl>
    <w:p w14:paraId="7FAC3B7E" w14:textId="77777777" w:rsidR="003E01C6" w:rsidRDefault="003E01C6" w:rsidP="003E01C6">
      <w:pPr>
        <w:rPr>
          <w:rFonts w:ascii="Arial" w:hAnsi="Arial" w:cs="Arial"/>
          <w:sz w:val="20"/>
          <w:szCs w:val="20"/>
        </w:rPr>
      </w:pPr>
    </w:p>
    <w:p w14:paraId="0D734C09" w14:textId="670838A5" w:rsidR="003E01C6" w:rsidRDefault="003E01C6" w:rsidP="003E01C6">
      <w:pPr>
        <w:rPr>
          <w:rFonts w:ascii="Arial" w:hAnsi="Arial" w:cs="Arial"/>
          <w:sz w:val="20"/>
          <w:szCs w:val="20"/>
        </w:rPr>
      </w:pPr>
      <w:r>
        <w:rPr>
          <w:rFonts w:ascii="Arial" w:hAnsi="Arial" w:cs="Arial"/>
          <w:sz w:val="20"/>
          <w:szCs w:val="20"/>
        </w:rPr>
        <w:t xml:space="preserve">Proponents of Alt 1 propose depending on the condition in initial slot, perform first DL SPS deferral and then repetition, or only DL SPS deferral. Proponents of Alt.3 propose that always perform DL SPS deferral </w:t>
      </w:r>
      <w:r w:rsidR="000549C2">
        <w:rPr>
          <w:rFonts w:ascii="Arial" w:hAnsi="Arial" w:cs="Arial"/>
          <w:sz w:val="20"/>
          <w:szCs w:val="20"/>
        </w:rPr>
        <w:t xml:space="preserve">first </w:t>
      </w:r>
      <w:r>
        <w:rPr>
          <w:rFonts w:ascii="Arial" w:hAnsi="Arial" w:cs="Arial"/>
          <w:sz w:val="20"/>
          <w:szCs w:val="20"/>
        </w:rPr>
        <w:t xml:space="preserve">and then repetition </w:t>
      </w:r>
      <w:r w:rsidR="000549C2">
        <w:rPr>
          <w:rFonts w:ascii="Arial" w:hAnsi="Arial" w:cs="Arial"/>
          <w:sz w:val="20"/>
          <w:szCs w:val="20"/>
        </w:rPr>
        <w:t xml:space="preserve">depending on the condition </w:t>
      </w:r>
      <w:r>
        <w:rPr>
          <w:rFonts w:ascii="Arial" w:hAnsi="Arial" w:cs="Arial"/>
          <w:sz w:val="20"/>
          <w:szCs w:val="20"/>
        </w:rPr>
        <w:t xml:space="preserve">on target slot. </w:t>
      </w:r>
      <w:r w:rsidRPr="00FE7376">
        <w:rPr>
          <w:rFonts w:ascii="Arial" w:hAnsi="Arial" w:cs="Arial"/>
          <w:b/>
          <w:bCs/>
          <w:sz w:val="20"/>
          <w:szCs w:val="20"/>
        </w:rPr>
        <w:t>As it is understood from the discussion last meeting, neither of the proponents of Alt.1 or Alt. 3 intend to change DL SPS deferral procedures or PUCCH repetition rules. The only issue is how to combine them.</w:t>
      </w:r>
    </w:p>
    <w:p w14:paraId="5608CCA2" w14:textId="77B02443" w:rsidR="001E3014" w:rsidRDefault="001E3014" w:rsidP="003E01C6">
      <w:pPr>
        <w:rPr>
          <w:rFonts w:ascii="Arial" w:hAnsi="Arial" w:cs="Arial"/>
          <w:sz w:val="20"/>
          <w:szCs w:val="20"/>
        </w:rPr>
      </w:pPr>
    </w:p>
    <w:p w14:paraId="3B6C0F7B" w14:textId="4CD98ACE" w:rsidR="001E3014" w:rsidRPr="00FE7376" w:rsidRDefault="00944D54" w:rsidP="003E01C6">
      <w:pPr>
        <w:rPr>
          <w:rFonts w:ascii="Arial" w:hAnsi="Arial" w:cs="Arial"/>
          <w:b/>
          <w:bCs/>
          <w:sz w:val="20"/>
          <w:szCs w:val="20"/>
          <w:u w:val="single"/>
        </w:rPr>
      </w:pPr>
      <w:r>
        <w:rPr>
          <w:rFonts w:ascii="Arial" w:hAnsi="Arial" w:cs="Arial"/>
          <w:b/>
          <w:bCs/>
          <w:sz w:val="20"/>
          <w:szCs w:val="20"/>
          <w:u w:val="single"/>
        </w:rPr>
        <w:t xml:space="preserve">Need for </w:t>
      </w:r>
      <w:r w:rsidR="00B03AD1">
        <w:rPr>
          <w:rFonts w:ascii="Arial" w:hAnsi="Arial" w:cs="Arial"/>
          <w:b/>
          <w:bCs/>
          <w:sz w:val="20"/>
          <w:szCs w:val="20"/>
          <w:u w:val="single"/>
        </w:rPr>
        <w:t>r</w:t>
      </w:r>
      <w:r w:rsidR="00F870EC" w:rsidRPr="00FE7376">
        <w:rPr>
          <w:rFonts w:ascii="Arial" w:hAnsi="Arial" w:cs="Arial"/>
          <w:b/>
          <w:bCs/>
          <w:sz w:val="20"/>
          <w:szCs w:val="20"/>
          <w:u w:val="single"/>
        </w:rPr>
        <w:t>epetition rule for DL SPS irrespective of Alt1</w:t>
      </w:r>
      <w:r w:rsidR="00C01C3D" w:rsidRPr="00FE7376">
        <w:rPr>
          <w:rFonts w:ascii="Arial" w:hAnsi="Arial" w:cs="Arial"/>
          <w:b/>
          <w:bCs/>
          <w:sz w:val="20"/>
          <w:szCs w:val="20"/>
          <w:u w:val="single"/>
        </w:rPr>
        <w:t xml:space="preserve"> or Alt 3:</w:t>
      </w:r>
    </w:p>
    <w:p w14:paraId="1650FB08" w14:textId="47FEF14C" w:rsidR="0090112F" w:rsidRDefault="003E01C6" w:rsidP="003E01C6">
      <w:pPr>
        <w:rPr>
          <w:rFonts w:ascii="Arial" w:hAnsi="Arial" w:cs="Arial"/>
          <w:sz w:val="20"/>
          <w:szCs w:val="20"/>
        </w:rPr>
      </w:pPr>
      <w:r>
        <w:rPr>
          <w:rFonts w:ascii="Arial" w:hAnsi="Arial" w:cs="Arial"/>
          <w:sz w:val="20"/>
          <w:szCs w:val="20"/>
        </w:rPr>
        <w:t xml:space="preserve">First, we would like to raise the attention that regardless of Alt 1 or Alt 3, there is an issue due to PUCCH repetition rules that needs to be taken care of, otherwise the functionality would have limited benefit. The issue is demonstrated by presenting Examples 1, 2 and 3 in </w:t>
      </w:r>
      <w:r w:rsidR="00A469D1">
        <w:rPr>
          <w:rFonts w:ascii="Arial" w:hAnsi="Arial" w:cs="Arial"/>
          <w:sz w:val="20"/>
          <w:szCs w:val="20"/>
        </w:rPr>
        <w:fldChar w:fldCharType="begin"/>
      </w:r>
      <w:r w:rsidR="00A469D1">
        <w:rPr>
          <w:rFonts w:ascii="Arial" w:hAnsi="Arial" w:cs="Arial"/>
          <w:sz w:val="20"/>
          <w:szCs w:val="20"/>
        </w:rPr>
        <w:instrText xml:space="preserve"> REF _Ref90510613 \h </w:instrText>
      </w:r>
      <w:r w:rsidR="00A469D1">
        <w:rPr>
          <w:rFonts w:ascii="Arial" w:hAnsi="Arial" w:cs="Arial"/>
          <w:sz w:val="20"/>
          <w:szCs w:val="20"/>
        </w:rPr>
      </w:r>
      <w:r w:rsidR="00A469D1">
        <w:rPr>
          <w:rFonts w:ascii="Arial" w:hAnsi="Arial" w:cs="Arial"/>
          <w:sz w:val="20"/>
          <w:szCs w:val="20"/>
        </w:rPr>
        <w:fldChar w:fldCharType="separate"/>
      </w:r>
      <w:r w:rsidR="00FE7376" w:rsidRPr="00034F56">
        <w:t xml:space="preserve">Figure </w:t>
      </w:r>
      <w:r w:rsidR="00FE7376" w:rsidRPr="00034F56">
        <w:rPr>
          <w:noProof/>
        </w:rPr>
        <w:t>1</w:t>
      </w:r>
      <w:r w:rsidR="00A469D1">
        <w:rPr>
          <w:rFonts w:ascii="Arial" w:hAnsi="Arial" w:cs="Arial"/>
          <w:sz w:val="20"/>
          <w:szCs w:val="20"/>
        </w:rPr>
        <w:fldChar w:fldCharType="end"/>
      </w:r>
      <w:r w:rsidR="0090112F">
        <w:rPr>
          <w:rFonts w:ascii="Arial" w:hAnsi="Arial" w:cs="Arial"/>
          <w:sz w:val="20"/>
          <w:szCs w:val="20"/>
        </w:rPr>
        <w:t xml:space="preserve"> as described below:</w:t>
      </w:r>
    </w:p>
    <w:p w14:paraId="70605BFD" w14:textId="77777777" w:rsidR="00F94281" w:rsidRDefault="00466F26" w:rsidP="0090112F">
      <w:pPr>
        <w:pStyle w:val="ListParagraph"/>
        <w:numPr>
          <w:ilvl w:val="0"/>
          <w:numId w:val="78"/>
        </w:numPr>
        <w:rPr>
          <w:rFonts w:ascii="Arial" w:hAnsi="Arial" w:cs="Arial"/>
          <w:sz w:val="20"/>
          <w:szCs w:val="20"/>
          <w:lang w:val="en-US"/>
        </w:rPr>
      </w:pPr>
      <w:r>
        <w:rPr>
          <w:rFonts w:ascii="Arial" w:hAnsi="Arial" w:cs="Arial"/>
          <w:sz w:val="20"/>
          <w:szCs w:val="20"/>
          <w:lang w:val="en-US"/>
        </w:rPr>
        <w:t xml:space="preserve">A TDD configuration of UDDUDD is assumed. </w:t>
      </w:r>
      <w:r w:rsidR="00D43F65">
        <w:rPr>
          <w:rFonts w:ascii="Arial" w:hAnsi="Arial" w:cs="Arial"/>
          <w:sz w:val="20"/>
          <w:szCs w:val="20"/>
          <w:lang w:val="en-US"/>
        </w:rPr>
        <w:t>Repetition factor of 2 is assumed for three different configurations of DL SPS</w:t>
      </w:r>
      <w:r w:rsidR="00F94281">
        <w:rPr>
          <w:rFonts w:ascii="Arial" w:hAnsi="Arial" w:cs="Arial"/>
          <w:sz w:val="20"/>
          <w:szCs w:val="20"/>
          <w:lang w:val="en-US"/>
        </w:rPr>
        <w:t>.</w:t>
      </w:r>
    </w:p>
    <w:p w14:paraId="28D29571" w14:textId="77777777" w:rsidR="003313E6" w:rsidRDefault="00974B60" w:rsidP="00F94281">
      <w:pPr>
        <w:pStyle w:val="ListParagraph"/>
        <w:numPr>
          <w:ilvl w:val="1"/>
          <w:numId w:val="78"/>
        </w:numPr>
        <w:rPr>
          <w:rFonts w:ascii="Arial" w:hAnsi="Arial" w:cs="Arial"/>
          <w:sz w:val="20"/>
          <w:szCs w:val="20"/>
          <w:lang w:val="en-US"/>
        </w:rPr>
      </w:pPr>
      <w:r>
        <w:rPr>
          <w:rFonts w:ascii="Arial" w:hAnsi="Arial" w:cs="Arial"/>
          <w:sz w:val="20"/>
          <w:szCs w:val="20"/>
          <w:lang w:val="en-US"/>
        </w:rPr>
        <w:t xml:space="preserve">Example 1: </w:t>
      </w:r>
      <w:r w:rsidR="00A6664B">
        <w:rPr>
          <w:rFonts w:ascii="Arial" w:hAnsi="Arial" w:cs="Arial"/>
          <w:sz w:val="20"/>
          <w:szCs w:val="20"/>
          <w:lang w:val="en-US"/>
        </w:rPr>
        <w:t xml:space="preserve">For </w:t>
      </w:r>
      <w:r>
        <w:rPr>
          <w:rFonts w:ascii="Arial" w:hAnsi="Arial" w:cs="Arial"/>
          <w:sz w:val="20"/>
          <w:szCs w:val="20"/>
          <w:lang w:val="en-US"/>
        </w:rPr>
        <w:t>DL SPS</w:t>
      </w:r>
      <w:r w:rsidR="00910D69">
        <w:rPr>
          <w:rFonts w:ascii="Arial" w:hAnsi="Arial" w:cs="Arial"/>
          <w:sz w:val="20"/>
          <w:szCs w:val="20"/>
          <w:lang w:val="en-US"/>
        </w:rPr>
        <w:t>1 configuration</w:t>
      </w:r>
      <w:r w:rsidR="00A6664B">
        <w:rPr>
          <w:rFonts w:ascii="Arial" w:hAnsi="Arial" w:cs="Arial"/>
          <w:sz w:val="20"/>
          <w:szCs w:val="20"/>
          <w:lang w:val="en-US"/>
        </w:rPr>
        <w:t xml:space="preserve">, there is only </w:t>
      </w:r>
      <w:r w:rsidR="004C20CA">
        <w:rPr>
          <w:rFonts w:ascii="Arial" w:hAnsi="Arial" w:cs="Arial"/>
          <w:sz w:val="20"/>
          <w:szCs w:val="20"/>
          <w:lang w:val="en-US"/>
        </w:rPr>
        <w:t xml:space="preserve">one DL SPS transmission opportunity within the span of 2 UL slots that could be used for repetition. </w:t>
      </w:r>
      <w:r w:rsidR="003C2220">
        <w:rPr>
          <w:rFonts w:ascii="Arial" w:hAnsi="Arial" w:cs="Arial"/>
          <w:sz w:val="20"/>
          <w:szCs w:val="20"/>
          <w:lang w:val="en-US"/>
        </w:rPr>
        <w:t xml:space="preserve">It shows both Alt 1/Alt 3 </w:t>
      </w:r>
      <w:r w:rsidR="003313E6">
        <w:rPr>
          <w:rFonts w:ascii="Arial" w:hAnsi="Arial" w:cs="Arial"/>
          <w:sz w:val="20"/>
          <w:szCs w:val="20"/>
          <w:lang w:val="en-US"/>
        </w:rPr>
        <w:t>result in the same outcome and there is no difference.</w:t>
      </w:r>
    </w:p>
    <w:p w14:paraId="5A73BC09" w14:textId="1F934B57" w:rsidR="00752C38" w:rsidRDefault="003313E6" w:rsidP="00F94281">
      <w:pPr>
        <w:pStyle w:val="ListParagraph"/>
        <w:numPr>
          <w:ilvl w:val="1"/>
          <w:numId w:val="78"/>
        </w:numPr>
        <w:rPr>
          <w:rFonts w:ascii="Arial" w:hAnsi="Arial" w:cs="Arial"/>
          <w:sz w:val="20"/>
          <w:szCs w:val="20"/>
          <w:lang w:val="en-US"/>
        </w:rPr>
      </w:pPr>
      <w:r>
        <w:rPr>
          <w:rFonts w:ascii="Arial" w:hAnsi="Arial" w:cs="Arial"/>
          <w:sz w:val="20"/>
          <w:szCs w:val="20"/>
          <w:lang w:val="en-US"/>
        </w:rPr>
        <w:t>Example 2: For DL SPS2 configuration</w:t>
      </w:r>
      <w:r w:rsidR="00E272DB">
        <w:rPr>
          <w:rFonts w:ascii="Arial" w:hAnsi="Arial" w:cs="Arial"/>
          <w:sz w:val="20"/>
          <w:szCs w:val="20"/>
          <w:lang w:val="en-US"/>
        </w:rPr>
        <w:t xml:space="preserve"> which has a </w:t>
      </w:r>
      <w:r w:rsidR="00932B19">
        <w:rPr>
          <w:rFonts w:ascii="Arial" w:hAnsi="Arial" w:cs="Arial"/>
          <w:sz w:val="20"/>
          <w:szCs w:val="20"/>
          <w:lang w:val="en-US"/>
        </w:rPr>
        <w:t>shorter</w:t>
      </w:r>
      <w:r w:rsidR="00E272DB">
        <w:rPr>
          <w:rFonts w:ascii="Arial" w:hAnsi="Arial" w:cs="Arial"/>
          <w:sz w:val="20"/>
          <w:szCs w:val="20"/>
          <w:lang w:val="en-US"/>
        </w:rPr>
        <w:t xml:space="preserve"> periodicity</w:t>
      </w:r>
      <w:r w:rsidR="006106C7">
        <w:rPr>
          <w:rFonts w:ascii="Arial" w:hAnsi="Arial" w:cs="Arial"/>
          <w:sz w:val="20"/>
          <w:szCs w:val="20"/>
          <w:lang w:val="en-US"/>
        </w:rPr>
        <w:t xml:space="preserve"> such that </w:t>
      </w:r>
      <w:r w:rsidR="00604D82">
        <w:rPr>
          <w:rFonts w:ascii="Arial" w:hAnsi="Arial" w:cs="Arial"/>
          <w:sz w:val="20"/>
          <w:szCs w:val="20"/>
          <w:lang w:val="en-US"/>
        </w:rPr>
        <w:t>there</w:t>
      </w:r>
      <w:r w:rsidR="00031CD8">
        <w:rPr>
          <w:rFonts w:ascii="Arial" w:hAnsi="Arial" w:cs="Arial"/>
          <w:sz w:val="20"/>
          <w:szCs w:val="20"/>
          <w:lang w:val="en-US"/>
        </w:rPr>
        <w:t xml:space="preserve"> are two DL SPS </w:t>
      </w:r>
      <w:r w:rsidR="00DB5B82">
        <w:rPr>
          <w:rFonts w:ascii="Arial" w:hAnsi="Arial" w:cs="Arial"/>
          <w:sz w:val="20"/>
          <w:szCs w:val="20"/>
          <w:lang w:val="en-US"/>
        </w:rPr>
        <w:t xml:space="preserve">transmission opportunities within the span of 2 UL slots that could be used for repetition. As it can </w:t>
      </w:r>
      <w:r w:rsidR="00221202">
        <w:rPr>
          <w:rFonts w:ascii="Arial" w:hAnsi="Arial" w:cs="Arial"/>
          <w:sz w:val="20"/>
          <w:szCs w:val="20"/>
          <w:lang w:val="en-US"/>
        </w:rPr>
        <w:t>be seen, for this configuration</w:t>
      </w:r>
      <w:r w:rsidR="007D366A">
        <w:rPr>
          <w:rFonts w:ascii="Arial" w:hAnsi="Arial" w:cs="Arial"/>
          <w:sz w:val="20"/>
          <w:szCs w:val="20"/>
          <w:lang w:val="en-US"/>
        </w:rPr>
        <w:t xml:space="preserve"> there </w:t>
      </w:r>
      <w:r w:rsidR="00752C38">
        <w:rPr>
          <w:rFonts w:ascii="Arial" w:hAnsi="Arial" w:cs="Arial"/>
          <w:sz w:val="20"/>
          <w:szCs w:val="20"/>
          <w:lang w:val="en-US"/>
        </w:rPr>
        <w:t>can’t</w:t>
      </w:r>
      <w:r w:rsidR="007D366A">
        <w:rPr>
          <w:rFonts w:ascii="Arial" w:hAnsi="Arial" w:cs="Arial"/>
          <w:sz w:val="20"/>
          <w:szCs w:val="20"/>
          <w:lang w:val="en-US"/>
        </w:rPr>
        <w:t xml:space="preserve"> be HARQ-ACK </w:t>
      </w:r>
      <w:r w:rsidR="0031597D">
        <w:rPr>
          <w:rFonts w:ascii="Arial" w:hAnsi="Arial" w:cs="Arial"/>
          <w:sz w:val="20"/>
          <w:szCs w:val="20"/>
          <w:lang w:val="en-US"/>
        </w:rPr>
        <w:t>feedback for</w:t>
      </w:r>
      <w:r w:rsidR="003B496B">
        <w:rPr>
          <w:rFonts w:ascii="Arial" w:hAnsi="Arial" w:cs="Arial"/>
          <w:sz w:val="20"/>
          <w:szCs w:val="20"/>
          <w:lang w:val="en-US"/>
        </w:rPr>
        <w:t xml:space="preserve"> every other DL SPS</w:t>
      </w:r>
      <w:r w:rsidR="005B01B9">
        <w:rPr>
          <w:rFonts w:ascii="Arial" w:hAnsi="Arial" w:cs="Arial"/>
          <w:sz w:val="20"/>
          <w:szCs w:val="20"/>
          <w:lang w:val="en-US"/>
        </w:rPr>
        <w:t xml:space="preserve"> transmission opportunity and effectively </w:t>
      </w:r>
      <w:r w:rsidR="002F27FB">
        <w:rPr>
          <w:rFonts w:ascii="Arial" w:hAnsi="Arial" w:cs="Arial"/>
          <w:sz w:val="20"/>
          <w:szCs w:val="20"/>
          <w:lang w:val="en-US"/>
        </w:rPr>
        <w:t xml:space="preserve">this configuration would be </w:t>
      </w:r>
      <w:r w:rsidR="00C85AE5">
        <w:rPr>
          <w:rFonts w:ascii="Arial" w:hAnsi="Arial" w:cs="Arial"/>
          <w:sz w:val="20"/>
          <w:szCs w:val="20"/>
          <w:lang w:val="en-US"/>
        </w:rPr>
        <w:t xml:space="preserve">same as </w:t>
      </w:r>
      <w:r w:rsidR="00752C38">
        <w:rPr>
          <w:rFonts w:ascii="Arial" w:hAnsi="Arial" w:cs="Arial"/>
          <w:sz w:val="20"/>
          <w:szCs w:val="20"/>
          <w:lang w:val="en-US"/>
        </w:rPr>
        <w:t>configuration in Example 1.</w:t>
      </w:r>
    </w:p>
    <w:p w14:paraId="57B0DB96" w14:textId="524B4AF9" w:rsidR="00862683" w:rsidRDefault="005A044A" w:rsidP="00F94281">
      <w:pPr>
        <w:pStyle w:val="ListParagraph"/>
        <w:numPr>
          <w:ilvl w:val="1"/>
          <w:numId w:val="78"/>
        </w:numPr>
        <w:rPr>
          <w:rFonts w:ascii="Arial" w:hAnsi="Arial" w:cs="Arial"/>
          <w:sz w:val="20"/>
          <w:szCs w:val="20"/>
          <w:lang w:val="en-US"/>
        </w:rPr>
      </w:pPr>
      <w:r>
        <w:rPr>
          <w:rFonts w:ascii="Arial" w:hAnsi="Arial" w:cs="Arial"/>
          <w:sz w:val="20"/>
          <w:szCs w:val="20"/>
          <w:lang w:val="en-US"/>
        </w:rPr>
        <w:t xml:space="preserve">Example 3: For DL SPS3 configuration which has the </w:t>
      </w:r>
      <w:r w:rsidR="00932B19">
        <w:rPr>
          <w:rFonts w:ascii="Arial" w:hAnsi="Arial" w:cs="Arial"/>
          <w:sz w:val="20"/>
          <w:szCs w:val="20"/>
          <w:lang w:val="en-US"/>
        </w:rPr>
        <w:t>shortest</w:t>
      </w:r>
      <w:r>
        <w:rPr>
          <w:rFonts w:ascii="Arial" w:hAnsi="Arial" w:cs="Arial"/>
          <w:sz w:val="20"/>
          <w:szCs w:val="20"/>
          <w:lang w:val="en-US"/>
        </w:rPr>
        <w:t xml:space="preserve"> periodicity such that there is a DL SPS transmission opportunity in every DL slot. </w:t>
      </w:r>
      <w:r w:rsidR="00862683">
        <w:rPr>
          <w:rFonts w:ascii="Arial" w:hAnsi="Arial" w:cs="Arial"/>
          <w:sz w:val="20"/>
          <w:szCs w:val="20"/>
          <w:lang w:val="en-US"/>
        </w:rPr>
        <w:t>Both</w:t>
      </w:r>
      <w:r>
        <w:rPr>
          <w:rFonts w:ascii="Arial" w:hAnsi="Arial" w:cs="Arial"/>
          <w:sz w:val="20"/>
          <w:szCs w:val="20"/>
          <w:lang w:val="en-US"/>
        </w:rPr>
        <w:t xml:space="preserve"> Alt 1</w:t>
      </w:r>
      <w:r w:rsidR="00862683">
        <w:rPr>
          <w:rFonts w:ascii="Arial" w:hAnsi="Arial" w:cs="Arial"/>
          <w:sz w:val="20"/>
          <w:szCs w:val="20"/>
          <w:lang w:val="en-US"/>
        </w:rPr>
        <w:t xml:space="preserve"> and </w:t>
      </w:r>
      <w:r>
        <w:rPr>
          <w:rFonts w:ascii="Arial" w:hAnsi="Arial" w:cs="Arial"/>
          <w:sz w:val="20"/>
          <w:szCs w:val="20"/>
          <w:lang w:val="en-US"/>
        </w:rPr>
        <w:t xml:space="preserve">Alt 3 are subject to dropping </w:t>
      </w:r>
      <w:r w:rsidR="00BC42AC">
        <w:rPr>
          <w:rFonts w:ascii="Arial" w:hAnsi="Arial" w:cs="Arial"/>
          <w:sz w:val="20"/>
          <w:szCs w:val="20"/>
          <w:lang w:val="en-US"/>
        </w:rPr>
        <w:t>but the impact is less for Alt 3</w:t>
      </w:r>
      <w:r w:rsidR="001D6576">
        <w:rPr>
          <w:rFonts w:ascii="Arial" w:hAnsi="Arial" w:cs="Arial"/>
          <w:sz w:val="20"/>
          <w:szCs w:val="20"/>
          <w:lang w:val="en-US"/>
        </w:rPr>
        <w:t xml:space="preserve"> although still present.</w:t>
      </w:r>
    </w:p>
    <w:p w14:paraId="4A4F094D" w14:textId="353DB62D" w:rsidR="007428E2" w:rsidRPr="00FE7376" w:rsidRDefault="007428E2" w:rsidP="00FE7376">
      <w:pPr>
        <w:pStyle w:val="ListParagraph"/>
        <w:ind w:left="1440"/>
        <w:rPr>
          <w:rFonts w:ascii="Arial" w:hAnsi="Arial" w:cs="Arial"/>
          <w:sz w:val="20"/>
          <w:szCs w:val="20"/>
          <w:lang w:val="en-US"/>
        </w:rPr>
      </w:pPr>
    </w:p>
    <w:p w14:paraId="4B0E52B7" w14:textId="20744655" w:rsidR="003E01C6" w:rsidRDefault="003E01C6" w:rsidP="003E01C6">
      <w:pPr>
        <w:rPr>
          <w:rFonts w:ascii="Arial" w:hAnsi="Arial" w:cs="Arial"/>
          <w:sz w:val="20"/>
          <w:szCs w:val="20"/>
        </w:rPr>
      </w:pPr>
      <w:r>
        <w:rPr>
          <w:rFonts w:ascii="Arial" w:hAnsi="Arial" w:cs="Arial"/>
          <w:sz w:val="20"/>
          <w:szCs w:val="20"/>
        </w:rPr>
        <w:t xml:space="preserve">These examples show the impact on PUCCH dropping due to repetition rules when during the repetition span there are more than one DL SPS transmission opportunity. In effect, the DL SPS opportunities are reduced due to lack of corresponding HARQ-ACK feedback.  </w:t>
      </w:r>
      <w:r w:rsidR="000906E2">
        <w:rPr>
          <w:rFonts w:ascii="Arial" w:hAnsi="Arial" w:cs="Arial"/>
          <w:sz w:val="20"/>
          <w:szCs w:val="20"/>
        </w:rPr>
        <w:t>This consequence</w:t>
      </w:r>
      <w:r>
        <w:rPr>
          <w:rFonts w:ascii="Arial" w:hAnsi="Arial" w:cs="Arial"/>
          <w:sz w:val="20"/>
          <w:szCs w:val="20"/>
        </w:rPr>
        <w:t xml:space="preserve"> defeats the purpose of DL SPS deferral</w:t>
      </w:r>
      <w:r w:rsidR="007A6ADE">
        <w:rPr>
          <w:rFonts w:ascii="Arial" w:hAnsi="Arial" w:cs="Arial"/>
          <w:sz w:val="20"/>
          <w:szCs w:val="20"/>
        </w:rPr>
        <w:t xml:space="preserve"> specially for low latency applications that increasing the transmission opportunities within a peri</w:t>
      </w:r>
      <w:r w:rsidR="003C3C3C">
        <w:rPr>
          <w:rFonts w:ascii="Arial" w:hAnsi="Arial" w:cs="Arial"/>
          <w:sz w:val="20"/>
          <w:szCs w:val="20"/>
        </w:rPr>
        <w:t xml:space="preserve">od </w:t>
      </w:r>
      <w:r w:rsidR="005E63D1">
        <w:rPr>
          <w:rFonts w:ascii="Arial" w:hAnsi="Arial" w:cs="Arial"/>
          <w:sz w:val="20"/>
          <w:szCs w:val="20"/>
        </w:rPr>
        <w:t xml:space="preserve">is crucial to meet the </w:t>
      </w:r>
      <w:r w:rsidR="00426E53">
        <w:rPr>
          <w:rFonts w:ascii="Arial" w:hAnsi="Arial" w:cs="Arial"/>
          <w:sz w:val="20"/>
          <w:szCs w:val="20"/>
        </w:rPr>
        <w:t xml:space="preserve">delay requirements. </w:t>
      </w:r>
      <w:r>
        <w:rPr>
          <w:rFonts w:ascii="Arial" w:hAnsi="Arial" w:cs="Arial"/>
          <w:sz w:val="20"/>
          <w:szCs w:val="20"/>
        </w:rPr>
        <w:t xml:space="preserve">The issue becomes more severe for </w:t>
      </w:r>
      <w:r w:rsidR="00932B19">
        <w:rPr>
          <w:rFonts w:ascii="Arial" w:hAnsi="Arial" w:cs="Arial"/>
          <w:sz w:val="20"/>
          <w:szCs w:val="20"/>
        </w:rPr>
        <w:t>shorter</w:t>
      </w:r>
      <w:r>
        <w:rPr>
          <w:rFonts w:ascii="Arial" w:hAnsi="Arial" w:cs="Arial"/>
          <w:sz w:val="20"/>
          <w:szCs w:val="20"/>
        </w:rPr>
        <w:t xml:space="preserve"> periodicity DL SPS transmission or even multi-DL SPS configuration.</w:t>
      </w:r>
    </w:p>
    <w:p w14:paraId="7CE848A6" w14:textId="551982AD" w:rsidR="007428E2" w:rsidRDefault="007428E2" w:rsidP="00FE7376">
      <w:pPr>
        <w:pStyle w:val="Observation"/>
      </w:pPr>
      <w:bookmarkStart w:id="35" w:name="_Toc90912995"/>
      <w:r>
        <w:lastRenderedPageBreak/>
        <w:t xml:space="preserve">PUCCH </w:t>
      </w:r>
      <w:r w:rsidR="00CB5475">
        <w:t xml:space="preserve">with DL SPS HARQ-ACK is subject to </w:t>
      </w:r>
      <w:r w:rsidR="00CB5475" w:rsidRPr="00CB5475">
        <w:t xml:space="preserve">dropping when </w:t>
      </w:r>
      <w:r w:rsidR="00CB5475" w:rsidRPr="00FE7376">
        <w:rPr>
          <w:rFonts w:cs="Arial"/>
        </w:rPr>
        <w:t>during the repetition span there are more than one DL SPS transmission opportunity</w:t>
      </w:r>
      <w:r w:rsidR="00CB5475">
        <w:rPr>
          <w:rFonts w:cs="Arial"/>
        </w:rPr>
        <w:t>.</w:t>
      </w:r>
      <w:bookmarkEnd w:id="35"/>
    </w:p>
    <w:p w14:paraId="1CE332F8" w14:textId="77777777" w:rsidR="00DB6624" w:rsidRPr="00034F56" w:rsidRDefault="00DB6624">
      <w:pPr>
        <w:keepNext/>
        <w:rPr>
          <w:noProof/>
        </w:rPr>
      </w:pPr>
    </w:p>
    <w:p w14:paraId="5145C499" w14:textId="099F28F6" w:rsidR="009342FC" w:rsidRDefault="00DB6624" w:rsidP="00FE7376">
      <w:pPr>
        <w:keepNext/>
      </w:pPr>
      <w:r w:rsidRPr="00DB6624">
        <w:rPr>
          <w:noProof/>
        </w:rPr>
        <w:drawing>
          <wp:inline distT="0" distB="0" distL="0" distR="0" wp14:anchorId="02D15443" wp14:editId="339A3CA6">
            <wp:extent cx="6120765" cy="391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911600"/>
                    </a:xfrm>
                    <a:prstGeom prst="rect">
                      <a:avLst/>
                    </a:prstGeom>
                  </pic:spPr>
                </pic:pic>
              </a:graphicData>
            </a:graphic>
          </wp:inline>
        </w:drawing>
      </w:r>
      <w:r w:rsidRPr="00DB6624">
        <w:t xml:space="preserve"> </w:t>
      </w:r>
    </w:p>
    <w:p w14:paraId="221D8902" w14:textId="365F0CF0" w:rsidR="003E01C6" w:rsidRDefault="009342FC" w:rsidP="00FE7376">
      <w:pPr>
        <w:pStyle w:val="Caption"/>
        <w:rPr>
          <w:rFonts w:ascii="Arial" w:hAnsi="Arial" w:cs="Arial"/>
          <w:sz w:val="20"/>
          <w:szCs w:val="20"/>
        </w:rPr>
      </w:pPr>
      <w:bookmarkStart w:id="36" w:name="_Ref90510613"/>
      <w:r w:rsidRPr="00034F56">
        <w:t xml:space="preserve">Figure </w:t>
      </w:r>
      <w:r w:rsidR="003872F3">
        <w:fldChar w:fldCharType="begin"/>
      </w:r>
      <w:r w:rsidR="003872F3" w:rsidRPr="00034F56">
        <w:instrText xml:space="preserve"> SEQ Figure \* ARABIC </w:instrText>
      </w:r>
      <w:r w:rsidR="003872F3">
        <w:fldChar w:fldCharType="separate"/>
      </w:r>
      <w:r w:rsidR="00FE7376" w:rsidRPr="00034F56">
        <w:rPr>
          <w:noProof/>
        </w:rPr>
        <w:t>1</w:t>
      </w:r>
      <w:r w:rsidR="003872F3">
        <w:rPr>
          <w:noProof/>
        </w:rPr>
        <w:fldChar w:fldCharType="end"/>
      </w:r>
      <w:bookmarkEnd w:id="36"/>
      <w:r w:rsidRPr="00034F56">
        <w:t xml:space="preserve">: </w:t>
      </w:r>
      <w:r w:rsidR="00D02A64" w:rsidRPr="00034F56">
        <w:t xml:space="preserve">Illustration of </w:t>
      </w:r>
      <w:r w:rsidR="003A7227" w:rsidRPr="00034F56">
        <w:t xml:space="preserve">impact of </w:t>
      </w:r>
      <w:r w:rsidR="00F404A1" w:rsidRPr="00034F56">
        <w:t>repetition dropping rules on DL SPS configurations</w:t>
      </w:r>
      <w:r w:rsidR="001F75D9" w:rsidRPr="00034F56">
        <w:t xml:space="preserve"> enabled with deferral</w:t>
      </w:r>
      <w:r w:rsidR="00F404A1" w:rsidRPr="00034F56">
        <w:t xml:space="preserve">. </w:t>
      </w:r>
      <w:r w:rsidR="00426E53" w:rsidRPr="00034F56">
        <w:t>Example 1</w:t>
      </w:r>
      <w:r w:rsidR="005F4A7E" w:rsidRPr="00034F56">
        <w:t xml:space="preserve">, 2 and 3 illustrate how </w:t>
      </w:r>
      <w:r w:rsidR="004519C6" w:rsidRPr="00034F56">
        <w:t xml:space="preserve">PUCCH transmission is dropped </w:t>
      </w:r>
      <w:r w:rsidR="00324DDC" w:rsidRPr="00034F56">
        <w:t>when the number of DL SPS transmission opportu</w:t>
      </w:r>
      <w:r w:rsidR="006F671B" w:rsidRPr="00034F56">
        <w:t xml:space="preserve">nities are increased </w:t>
      </w:r>
      <w:r w:rsidR="003E4533" w:rsidRPr="00034F56">
        <w:t xml:space="preserve">during a repetition span. Both Alt1/Alt3 are affected </w:t>
      </w:r>
      <w:r w:rsidR="00562D22" w:rsidRPr="00034F56">
        <w:t xml:space="preserve">with </w:t>
      </w:r>
      <w:r w:rsidR="00D11D5E" w:rsidRPr="00034F56">
        <w:t>Alt3 is observed to be more robust.</w:t>
      </w:r>
      <w:r w:rsidR="00324DDC" w:rsidRPr="00034F56">
        <w:t xml:space="preserve"> </w:t>
      </w:r>
      <w:r w:rsidR="00A50E59" w:rsidRPr="00034F56">
        <w:t>Note that</w:t>
      </w:r>
      <w:r w:rsidR="00500476" w:rsidRPr="00034F56">
        <w:t xml:space="preserve"> </w:t>
      </w:r>
      <w:r w:rsidR="00A50E59" w:rsidRPr="00034F56">
        <w:t xml:space="preserve">PUCCH(AN1) </w:t>
      </w:r>
      <w:r w:rsidR="00250C49" w:rsidRPr="00034F56">
        <w:t>refers to</w:t>
      </w:r>
      <w:r w:rsidR="009B7A17" w:rsidRPr="00034F56">
        <w:t xml:space="preserve"> the</w:t>
      </w:r>
      <w:r w:rsidR="00A50E59" w:rsidRPr="00034F56">
        <w:t xml:space="preserve"> PUCCH carrying HARQ-ACK for DL </w:t>
      </w:r>
      <w:r w:rsidR="000E3B83" w:rsidRPr="00034F56">
        <w:t>SPS PDSCH1</w:t>
      </w:r>
      <w:r w:rsidR="00D06951" w:rsidRPr="00034F56">
        <w:t xml:space="preserve"> </w:t>
      </w:r>
      <w:r w:rsidR="001B0F1C" w:rsidRPr="00034F56">
        <w:t>and PUCCH(AN1&amp;2)</w:t>
      </w:r>
      <w:r w:rsidR="00250C49" w:rsidRPr="00034F56">
        <w:t xml:space="preserve"> refers to the PUCCH carrying HARQ-ACK for DL SPS PDSCH1</w:t>
      </w:r>
      <w:r w:rsidR="00B803E2" w:rsidRPr="00034F56">
        <w:t xml:space="preserve"> and HARQ-ACK for DL SPS PDSCH2, etc.</w:t>
      </w:r>
    </w:p>
    <w:p w14:paraId="26D3EB1C" w14:textId="715C85FB" w:rsidR="000A0052" w:rsidRPr="007F78BE" w:rsidRDefault="00EE3477" w:rsidP="00A473AC">
      <w:pPr>
        <w:rPr>
          <w:rFonts w:ascii="Arial" w:hAnsi="Arial" w:cs="Arial"/>
          <w:sz w:val="20"/>
          <w:szCs w:val="20"/>
        </w:rPr>
      </w:pPr>
      <w:r>
        <w:rPr>
          <w:rFonts w:ascii="Arial" w:hAnsi="Arial" w:cs="Arial"/>
          <w:sz w:val="20"/>
          <w:szCs w:val="20"/>
        </w:rPr>
        <w:t>The issue is that b</w:t>
      </w:r>
      <w:r w:rsidR="00EF2154" w:rsidRPr="007F78BE">
        <w:rPr>
          <w:rFonts w:ascii="Arial" w:hAnsi="Arial" w:cs="Arial"/>
          <w:sz w:val="20"/>
          <w:szCs w:val="20"/>
        </w:rPr>
        <w:t xml:space="preserve">ased on the current </w:t>
      </w:r>
      <w:r w:rsidR="00117A66" w:rsidRPr="007F78BE">
        <w:rPr>
          <w:rFonts w:ascii="Arial" w:hAnsi="Arial" w:cs="Arial"/>
          <w:sz w:val="20"/>
          <w:szCs w:val="20"/>
        </w:rPr>
        <w:t>behavior</w:t>
      </w:r>
      <w:r w:rsidR="00B10803" w:rsidRPr="007F78BE">
        <w:rPr>
          <w:rFonts w:ascii="Arial" w:hAnsi="Arial" w:cs="Arial"/>
          <w:sz w:val="20"/>
          <w:szCs w:val="20"/>
        </w:rPr>
        <w:t>,</w:t>
      </w:r>
      <w:r w:rsidR="00E67522" w:rsidRPr="007F78BE">
        <w:rPr>
          <w:rFonts w:ascii="Arial" w:hAnsi="Arial" w:cs="Arial"/>
          <w:sz w:val="20"/>
          <w:szCs w:val="20"/>
        </w:rPr>
        <w:t xml:space="preserve"> </w:t>
      </w:r>
      <w:r w:rsidR="00B10803" w:rsidRPr="007F78BE">
        <w:rPr>
          <w:rFonts w:ascii="Arial" w:hAnsi="Arial" w:cs="Arial"/>
          <w:sz w:val="20"/>
          <w:szCs w:val="20"/>
        </w:rPr>
        <w:t xml:space="preserve">overlapping </w:t>
      </w:r>
      <w:r w:rsidR="00117A66" w:rsidRPr="007F78BE">
        <w:rPr>
          <w:rFonts w:ascii="Arial" w:hAnsi="Arial" w:cs="Arial"/>
          <w:sz w:val="20"/>
          <w:szCs w:val="20"/>
        </w:rPr>
        <w:t xml:space="preserve">of </w:t>
      </w:r>
      <w:r w:rsidR="00B10803" w:rsidRPr="007F78BE">
        <w:rPr>
          <w:rFonts w:ascii="Arial" w:hAnsi="Arial" w:cs="Arial"/>
          <w:sz w:val="20"/>
          <w:szCs w:val="20"/>
        </w:rPr>
        <w:t>PU</w:t>
      </w:r>
      <w:r w:rsidR="00117A66" w:rsidRPr="007F78BE">
        <w:rPr>
          <w:rFonts w:ascii="Arial" w:hAnsi="Arial" w:cs="Arial"/>
          <w:sz w:val="20"/>
          <w:szCs w:val="20"/>
        </w:rPr>
        <w:t>CC</w:t>
      </w:r>
      <w:r w:rsidR="00E67522" w:rsidRPr="007F78BE">
        <w:rPr>
          <w:rFonts w:ascii="Arial" w:hAnsi="Arial" w:cs="Arial"/>
          <w:sz w:val="20"/>
          <w:szCs w:val="20"/>
        </w:rPr>
        <w:t>H</w:t>
      </w:r>
      <w:r w:rsidR="00117A66" w:rsidRPr="007F78BE">
        <w:rPr>
          <w:rFonts w:ascii="Arial" w:hAnsi="Arial" w:cs="Arial"/>
          <w:sz w:val="20"/>
          <w:szCs w:val="20"/>
        </w:rPr>
        <w:t xml:space="preserve"> repetition</w:t>
      </w:r>
      <w:r w:rsidR="0060011D" w:rsidRPr="007F78BE">
        <w:rPr>
          <w:rFonts w:ascii="Arial" w:hAnsi="Arial" w:cs="Arial"/>
          <w:sz w:val="20"/>
          <w:szCs w:val="20"/>
        </w:rPr>
        <w:t>s</w:t>
      </w:r>
      <w:r w:rsidR="00117A66" w:rsidRPr="007F78BE">
        <w:rPr>
          <w:rFonts w:ascii="Arial" w:hAnsi="Arial" w:cs="Arial"/>
          <w:sz w:val="20"/>
          <w:szCs w:val="20"/>
        </w:rPr>
        <w:t xml:space="preserve"> of the same priority</w:t>
      </w:r>
      <w:r w:rsidR="00AD6410" w:rsidRPr="007F78BE">
        <w:rPr>
          <w:rFonts w:ascii="Arial" w:hAnsi="Arial" w:cs="Arial"/>
          <w:sz w:val="20"/>
          <w:szCs w:val="20"/>
        </w:rPr>
        <w:t xml:space="preserve"> are dropped</w:t>
      </w:r>
      <w:r w:rsidR="00E67522" w:rsidRPr="007F78BE">
        <w:rPr>
          <w:rFonts w:ascii="Arial" w:hAnsi="Arial" w:cs="Arial"/>
          <w:sz w:val="20"/>
          <w:szCs w:val="20"/>
        </w:rPr>
        <w:t xml:space="preserve">. </w:t>
      </w:r>
      <w:r w:rsidR="003269C2" w:rsidRPr="007F78BE">
        <w:rPr>
          <w:rFonts w:ascii="Arial" w:hAnsi="Arial" w:cs="Arial"/>
          <w:sz w:val="20"/>
          <w:szCs w:val="20"/>
        </w:rPr>
        <w:t xml:space="preserve">Since SPS HARQ-ACK PUCCH </w:t>
      </w:r>
      <w:r w:rsidR="00502123" w:rsidRPr="007F78BE">
        <w:rPr>
          <w:rFonts w:ascii="Arial" w:hAnsi="Arial" w:cs="Arial"/>
          <w:sz w:val="20"/>
          <w:szCs w:val="20"/>
        </w:rPr>
        <w:t>is repeated</w:t>
      </w:r>
      <w:r w:rsidR="003269C2" w:rsidRPr="007F78BE">
        <w:rPr>
          <w:rFonts w:ascii="Arial" w:hAnsi="Arial" w:cs="Arial"/>
          <w:sz w:val="20"/>
          <w:szCs w:val="20"/>
        </w:rPr>
        <w:t xml:space="preserve">, </w:t>
      </w:r>
      <w:r w:rsidR="00FC5C5F" w:rsidRPr="007F78BE">
        <w:rPr>
          <w:rFonts w:ascii="Arial" w:hAnsi="Arial" w:cs="Arial"/>
          <w:sz w:val="20"/>
          <w:szCs w:val="20"/>
        </w:rPr>
        <w:t xml:space="preserve">based on the current </w:t>
      </w:r>
      <w:r w:rsidR="008D52D8" w:rsidRPr="007F78BE">
        <w:rPr>
          <w:rFonts w:ascii="Arial" w:hAnsi="Arial" w:cs="Arial"/>
          <w:sz w:val="20"/>
          <w:szCs w:val="20"/>
        </w:rPr>
        <w:t xml:space="preserve">behavior, </w:t>
      </w:r>
      <w:r w:rsidR="003269C2" w:rsidRPr="007F78BE">
        <w:rPr>
          <w:rFonts w:ascii="Arial" w:hAnsi="Arial" w:cs="Arial"/>
          <w:sz w:val="20"/>
          <w:szCs w:val="20"/>
        </w:rPr>
        <w:t xml:space="preserve">it should not be multiplexed with </w:t>
      </w:r>
      <w:r w:rsidR="007305ED" w:rsidRPr="007F78BE">
        <w:rPr>
          <w:rFonts w:ascii="Arial" w:hAnsi="Arial" w:cs="Arial"/>
          <w:sz w:val="20"/>
          <w:szCs w:val="20"/>
        </w:rPr>
        <w:t>another HARQ-ACK</w:t>
      </w:r>
      <w:r w:rsidR="003269C2" w:rsidRPr="007F78BE">
        <w:rPr>
          <w:rFonts w:ascii="Arial" w:hAnsi="Arial" w:cs="Arial"/>
          <w:sz w:val="20"/>
          <w:szCs w:val="20"/>
        </w:rPr>
        <w:t xml:space="preserve"> on the overlapping slots. In this case, </w:t>
      </w:r>
      <w:r w:rsidR="000A0052" w:rsidRPr="007F78BE">
        <w:rPr>
          <w:rFonts w:ascii="Arial" w:hAnsi="Arial" w:cs="Arial"/>
          <w:sz w:val="20"/>
          <w:szCs w:val="20"/>
        </w:rPr>
        <w:t xml:space="preserve">instead of dropping the overlapping PUCCHs of the PUCCH repetition which starts later, </w:t>
      </w:r>
      <w:r w:rsidR="003269C2" w:rsidRPr="007F78BE">
        <w:rPr>
          <w:rFonts w:ascii="Arial" w:hAnsi="Arial" w:cs="Arial"/>
          <w:sz w:val="20"/>
          <w:szCs w:val="20"/>
        </w:rPr>
        <w:t xml:space="preserve">the </w:t>
      </w:r>
      <w:r w:rsidR="007305ED" w:rsidRPr="007F78BE">
        <w:rPr>
          <w:rFonts w:ascii="Arial" w:hAnsi="Arial" w:cs="Arial"/>
          <w:sz w:val="20"/>
          <w:szCs w:val="20"/>
        </w:rPr>
        <w:t xml:space="preserve">overlapping </w:t>
      </w:r>
      <w:r w:rsidR="003269C2" w:rsidRPr="007F78BE">
        <w:rPr>
          <w:rFonts w:ascii="Arial" w:hAnsi="Arial" w:cs="Arial"/>
          <w:sz w:val="20"/>
          <w:szCs w:val="20"/>
        </w:rPr>
        <w:t xml:space="preserve">PUCCH repetition </w:t>
      </w:r>
      <w:r w:rsidR="007305ED" w:rsidRPr="007F78BE">
        <w:rPr>
          <w:rFonts w:ascii="Arial" w:hAnsi="Arial" w:cs="Arial"/>
          <w:sz w:val="20"/>
          <w:szCs w:val="20"/>
        </w:rPr>
        <w:t xml:space="preserve">containing </w:t>
      </w:r>
      <w:r w:rsidR="003269C2" w:rsidRPr="007F78BE">
        <w:rPr>
          <w:rFonts w:ascii="Arial" w:hAnsi="Arial" w:cs="Arial"/>
          <w:sz w:val="20"/>
          <w:szCs w:val="20"/>
        </w:rPr>
        <w:t>SPS HARQ-ACK can be deferred further following the Rel-17 SPS HARQ-ACK deferral</w:t>
      </w:r>
      <w:r w:rsidR="009C2193" w:rsidRPr="007F78BE">
        <w:rPr>
          <w:rFonts w:ascii="Arial" w:hAnsi="Arial" w:cs="Arial"/>
          <w:sz w:val="20"/>
          <w:szCs w:val="20"/>
        </w:rPr>
        <w:t xml:space="preserve"> (see </w:t>
      </w:r>
      <w:r w:rsidR="009C2193">
        <w:rPr>
          <w:rFonts w:ascii="Arial" w:hAnsi="Arial" w:cs="Arial"/>
          <w:sz w:val="20"/>
          <w:szCs w:val="20"/>
        </w:rPr>
        <w:fldChar w:fldCharType="begin"/>
      </w:r>
      <w:r w:rsidR="009C2193" w:rsidRPr="007F78BE">
        <w:rPr>
          <w:rFonts w:ascii="Arial" w:hAnsi="Arial" w:cs="Arial"/>
          <w:sz w:val="20"/>
          <w:szCs w:val="20"/>
        </w:rPr>
        <w:instrText xml:space="preserve"> REF _Ref86830544 \h </w:instrText>
      </w:r>
      <w:r w:rsidR="009C2193">
        <w:rPr>
          <w:rFonts w:ascii="Arial" w:hAnsi="Arial" w:cs="Arial"/>
          <w:sz w:val="20"/>
          <w:szCs w:val="20"/>
        </w:rPr>
      </w:r>
      <w:r w:rsidR="009C2193">
        <w:rPr>
          <w:rFonts w:ascii="Arial" w:hAnsi="Arial" w:cs="Arial"/>
          <w:sz w:val="20"/>
          <w:szCs w:val="20"/>
        </w:rPr>
        <w:fldChar w:fldCharType="separate"/>
      </w:r>
      <w:r w:rsidR="00FE7376" w:rsidRPr="007F78BE">
        <w:rPr>
          <w:rFonts w:ascii="Arial" w:hAnsi="Arial" w:cs="Arial"/>
          <w:sz w:val="20"/>
          <w:szCs w:val="20"/>
        </w:rPr>
        <w:t xml:space="preserve">Figure </w:t>
      </w:r>
      <w:r w:rsidR="00FE7376">
        <w:rPr>
          <w:rFonts w:ascii="Arial" w:hAnsi="Arial" w:cs="Arial"/>
          <w:noProof/>
          <w:sz w:val="20"/>
          <w:szCs w:val="20"/>
        </w:rPr>
        <w:t>2</w:t>
      </w:r>
      <w:r w:rsidR="009C2193">
        <w:rPr>
          <w:rFonts w:ascii="Arial" w:hAnsi="Arial" w:cs="Arial"/>
          <w:sz w:val="20"/>
          <w:szCs w:val="20"/>
        </w:rPr>
        <w:fldChar w:fldCharType="end"/>
      </w:r>
      <w:r w:rsidR="009C2193" w:rsidRPr="007F78BE">
        <w:rPr>
          <w:rFonts w:ascii="Arial" w:hAnsi="Arial" w:cs="Arial"/>
          <w:sz w:val="20"/>
          <w:szCs w:val="20"/>
        </w:rPr>
        <w:t>)</w:t>
      </w:r>
      <w:r w:rsidR="003269C2" w:rsidRPr="007F78BE">
        <w:rPr>
          <w:rFonts w:ascii="Arial" w:hAnsi="Arial" w:cs="Arial"/>
          <w:sz w:val="20"/>
          <w:szCs w:val="20"/>
        </w:rPr>
        <w:t>.</w:t>
      </w:r>
      <w:r w:rsidR="00735574" w:rsidRPr="00735574">
        <w:rPr>
          <w:rFonts w:ascii="Arial" w:hAnsi="Arial" w:cs="Arial"/>
          <w:sz w:val="20"/>
          <w:szCs w:val="20"/>
        </w:rPr>
        <w:t xml:space="preserve"> </w:t>
      </w:r>
    </w:p>
    <w:p w14:paraId="5588CAFF" w14:textId="77777777" w:rsidR="000A0052" w:rsidRDefault="000A0052" w:rsidP="000A0052">
      <w:pPr>
        <w:keepNext/>
      </w:pPr>
      <w:r>
        <w:rPr>
          <w:rFonts w:ascii="Arial" w:hAnsi="Arial" w:cs="Arial"/>
          <w:noProof/>
          <w:sz w:val="20"/>
          <w:szCs w:val="20"/>
        </w:rPr>
        <w:drawing>
          <wp:inline distT="0" distB="0" distL="0" distR="0" wp14:anchorId="38857B19" wp14:editId="21201833">
            <wp:extent cx="6062101" cy="8670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81969" cy="884147"/>
                    </a:xfrm>
                    <a:prstGeom prst="rect">
                      <a:avLst/>
                    </a:prstGeom>
                    <a:noFill/>
                  </pic:spPr>
                </pic:pic>
              </a:graphicData>
            </a:graphic>
          </wp:inline>
        </w:drawing>
      </w:r>
    </w:p>
    <w:p w14:paraId="014ACC0C" w14:textId="2837E4F9" w:rsidR="000A0052" w:rsidRPr="007F78BE" w:rsidRDefault="000A0052" w:rsidP="000A0052">
      <w:pPr>
        <w:pStyle w:val="Caption"/>
        <w:rPr>
          <w:rFonts w:ascii="Arial" w:hAnsi="Arial" w:cs="Arial"/>
          <w:sz w:val="20"/>
          <w:szCs w:val="20"/>
        </w:rPr>
      </w:pPr>
      <w:bookmarkStart w:id="37" w:name="_Ref86830544"/>
      <w:r w:rsidRPr="007F78BE">
        <w:rPr>
          <w:rFonts w:ascii="Arial" w:hAnsi="Arial" w:cs="Arial"/>
          <w:sz w:val="20"/>
          <w:szCs w:val="20"/>
        </w:rPr>
        <w:t xml:space="preserve">Figure </w:t>
      </w:r>
      <w:r w:rsidRPr="009C2193">
        <w:rPr>
          <w:rFonts w:ascii="Arial" w:hAnsi="Arial" w:cs="Arial"/>
          <w:sz w:val="20"/>
          <w:szCs w:val="20"/>
        </w:rPr>
        <w:fldChar w:fldCharType="begin"/>
      </w:r>
      <w:r w:rsidRPr="007F78BE">
        <w:rPr>
          <w:rFonts w:ascii="Arial" w:hAnsi="Arial" w:cs="Arial"/>
          <w:sz w:val="20"/>
          <w:szCs w:val="20"/>
        </w:rPr>
        <w:instrText xml:space="preserve"> SEQ Figure \* ARABIC </w:instrText>
      </w:r>
      <w:r w:rsidRPr="009C2193">
        <w:rPr>
          <w:rFonts w:ascii="Arial" w:hAnsi="Arial" w:cs="Arial"/>
          <w:sz w:val="20"/>
          <w:szCs w:val="20"/>
        </w:rPr>
        <w:fldChar w:fldCharType="separate"/>
      </w:r>
      <w:r w:rsidR="00FE7376">
        <w:rPr>
          <w:rFonts w:ascii="Arial" w:hAnsi="Arial" w:cs="Arial"/>
          <w:noProof/>
          <w:sz w:val="20"/>
          <w:szCs w:val="20"/>
        </w:rPr>
        <w:t>2</w:t>
      </w:r>
      <w:r w:rsidRPr="009C2193">
        <w:rPr>
          <w:rFonts w:ascii="Arial" w:hAnsi="Arial" w:cs="Arial"/>
          <w:sz w:val="20"/>
          <w:szCs w:val="20"/>
        </w:rPr>
        <w:fldChar w:fldCharType="end"/>
      </w:r>
      <w:bookmarkEnd w:id="37"/>
      <w:r w:rsidRPr="007F78BE">
        <w:rPr>
          <w:rFonts w:ascii="Arial" w:hAnsi="Arial" w:cs="Arial"/>
          <w:sz w:val="20"/>
          <w:szCs w:val="20"/>
        </w:rPr>
        <w:t xml:space="preserve"> Example of SPS HARQ-ACK deferral on PUCCH repetition when </w:t>
      </w:r>
      <w:r w:rsidR="009C2193" w:rsidRPr="007F78BE">
        <w:rPr>
          <w:rFonts w:ascii="Arial" w:hAnsi="Arial" w:cs="Arial"/>
          <w:sz w:val="20"/>
          <w:szCs w:val="20"/>
        </w:rPr>
        <w:t xml:space="preserve">the </w:t>
      </w:r>
      <w:r w:rsidR="00E76DBD">
        <w:rPr>
          <w:rFonts w:ascii="Arial" w:hAnsi="Arial" w:cs="Arial"/>
          <w:sz w:val="20"/>
          <w:szCs w:val="20"/>
        </w:rPr>
        <w:t xml:space="preserve">PUCCH with </w:t>
      </w:r>
      <w:r w:rsidR="009C2193" w:rsidRPr="007F78BE">
        <w:rPr>
          <w:rFonts w:ascii="Arial" w:hAnsi="Arial" w:cs="Arial"/>
          <w:sz w:val="20"/>
          <w:szCs w:val="20"/>
        </w:rPr>
        <w:t xml:space="preserve">SPS HARQ-ACK partially overlaps with </w:t>
      </w:r>
      <w:r w:rsidR="00E76DBD">
        <w:rPr>
          <w:rFonts w:ascii="Arial" w:hAnsi="Arial" w:cs="Arial"/>
          <w:sz w:val="20"/>
          <w:szCs w:val="20"/>
        </w:rPr>
        <w:t>a</w:t>
      </w:r>
      <w:r w:rsidR="009C2193" w:rsidRPr="007F78BE">
        <w:rPr>
          <w:rFonts w:ascii="Arial" w:hAnsi="Arial" w:cs="Arial"/>
          <w:sz w:val="20"/>
          <w:szCs w:val="20"/>
        </w:rPr>
        <w:t xml:space="preserve"> PUCCH repetition containing another HARQ-ACK codebook. Instead of dropping the overlapping </w:t>
      </w:r>
      <w:r w:rsidR="00C136FC">
        <w:rPr>
          <w:rFonts w:ascii="Arial" w:hAnsi="Arial" w:cs="Arial"/>
          <w:sz w:val="20"/>
          <w:szCs w:val="20"/>
        </w:rPr>
        <w:t xml:space="preserve">PUCCH with the </w:t>
      </w:r>
      <w:r w:rsidR="009C2193" w:rsidRPr="007F78BE">
        <w:rPr>
          <w:rFonts w:ascii="Arial" w:hAnsi="Arial" w:cs="Arial"/>
          <w:sz w:val="20"/>
          <w:szCs w:val="20"/>
        </w:rPr>
        <w:t xml:space="preserve">SPS </w:t>
      </w:r>
      <w:r w:rsidR="00C136FC">
        <w:rPr>
          <w:rFonts w:ascii="Arial" w:hAnsi="Arial" w:cs="Arial"/>
          <w:sz w:val="20"/>
          <w:szCs w:val="20"/>
        </w:rPr>
        <w:t>HARQ-ACK</w:t>
      </w:r>
      <w:r w:rsidR="009C2193" w:rsidRPr="007F78BE">
        <w:rPr>
          <w:rFonts w:ascii="Arial" w:hAnsi="Arial" w:cs="Arial"/>
          <w:sz w:val="20"/>
          <w:szCs w:val="20"/>
        </w:rPr>
        <w:t xml:space="preserve">, the PUCCH containing SPS HARQ-ACK can be </w:t>
      </w:r>
      <w:r w:rsidR="00C136FC">
        <w:rPr>
          <w:rFonts w:ascii="Arial" w:hAnsi="Arial" w:cs="Arial"/>
          <w:sz w:val="20"/>
          <w:szCs w:val="20"/>
        </w:rPr>
        <w:t xml:space="preserve">further </w:t>
      </w:r>
      <w:r w:rsidR="009C2193" w:rsidRPr="007F78BE">
        <w:rPr>
          <w:rFonts w:ascii="Arial" w:hAnsi="Arial" w:cs="Arial"/>
          <w:sz w:val="20"/>
          <w:szCs w:val="20"/>
        </w:rPr>
        <w:t>deferred.</w:t>
      </w:r>
    </w:p>
    <w:p w14:paraId="6B7E2A4F" w14:textId="77777777" w:rsidR="000A0052" w:rsidRPr="007F78BE" w:rsidRDefault="000A0052" w:rsidP="000A0052">
      <w:pPr>
        <w:rPr>
          <w:lang w:eastAsia="en-GB"/>
        </w:rPr>
      </w:pPr>
    </w:p>
    <w:p w14:paraId="6B6B48E1" w14:textId="47E2896E" w:rsidR="00960856" w:rsidRPr="007F78BE" w:rsidRDefault="00BF5871" w:rsidP="00A473AC">
      <w:pPr>
        <w:rPr>
          <w:rFonts w:ascii="Arial" w:hAnsi="Arial" w:cs="Arial"/>
          <w:sz w:val="20"/>
          <w:szCs w:val="20"/>
        </w:rPr>
      </w:pPr>
      <w:r w:rsidRPr="007F78BE">
        <w:rPr>
          <w:rFonts w:ascii="Arial" w:hAnsi="Arial" w:cs="Arial"/>
          <w:sz w:val="20"/>
          <w:szCs w:val="20"/>
        </w:rPr>
        <w:lastRenderedPageBreak/>
        <w:t>The</w:t>
      </w:r>
      <w:r>
        <w:rPr>
          <w:rFonts w:ascii="Arial" w:hAnsi="Arial" w:cs="Arial"/>
          <w:sz w:val="20"/>
          <w:szCs w:val="20"/>
        </w:rPr>
        <w:t>refore,</w:t>
      </w:r>
      <w:r w:rsidRPr="007F78BE">
        <w:rPr>
          <w:rFonts w:ascii="Arial" w:hAnsi="Arial" w:cs="Arial"/>
          <w:sz w:val="20"/>
          <w:szCs w:val="20"/>
        </w:rPr>
        <w:t xml:space="preserve"> there is a need for further deferral is </w:t>
      </w:r>
      <w:r w:rsidRPr="007F78BE">
        <w:rPr>
          <w:rFonts w:ascii="Arial" w:hAnsi="Arial" w:cs="Arial"/>
          <w:b/>
          <w:sz w:val="20"/>
          <w:szCs w:val="20"/>
        </w:rPr>
        <w:t>when the SPS HARQ-ACK is part of a PUCCH repetition which partially overlaps with other PUCCH repetitions containing another HARQ-ACK codebook.</w:t>
      </w:r>
      <w:r>
        <w:rPr>
          <w:rFonts w:ascii="Arial" w:hAnsi="Arial" w:cs="Arial"/>
          <w:b/>
          <w:sz w:val="20"/>
          <w:szCs w:val="20"/>
        </w:rPr>
        <w:t xml:space="preserve"> </w:t>
      </w:r>
      <w:r w:rsidR="007305ED" w:rsidRPr="007F78BE">
        <w:rPr>
          <w:rFonts w:ascii="Arial" w:hAnsi="Arial" w:cs="Arial"/>
          <w:sz w:val="20"/>
          <w:szCs w:val="20"/>
        </w:rPr>
        <w:t xml:space="preserve">If PUCCH repetition carrying SPS HARQ-ACK overlaps with other PUCCH repetitions carrying other UCI types, e.g., SR or CSI, then the Rel-15 procedure based on UCI type priority can be followed. That is, on the overlapping slots, the UE transmits the PUCCH which contains the UCI type with higher priority and does not transmit the PUCCH containing the UCI type with lower priority. </w:t>
      </w:r>
    </w:p>
    <w:p w14:paraId="36601E14" w14:textId="1C4D262B" w:rsidR="00DF0B91" w:rsidRPr="007F78BE" w:rsidRDefault="00625216" w:rsidP="00442BFD">
      <w:pPr>
        <w:pStyle w:val="Proposal"/>
        <w:tabs>
          <w:tab w:val="num" w:pos="1304"/>
        </w:tabs>
        <w:ind w:left="1304" w:hanging="1304"/>
        <w:rPr>
          <w:sz w:val="20"/>
          <w:szCs w:val="20"/>
        </w:rPr>
      </w:pPr>
      <w:bookmarkStart w:id="38" w:name="_Toc90912983"/>
      <w:r w:rsidRPr="00FE7376">
        <w:rPr>
          <w:rFonts w:cs="Arial"/>
          <w:sz w:val="20"/>
          <w:szCs w:val="20"/>
          <w:u w:val="single"/>
        </w:rPr>
        <w:t xml:space="preserve">Support the following repetition </w:t>
      </w:r>
      <w:r w:rsidR="00FB01C6" w:rsidRPr="00FE7376">
        <w:rPr>
          <w:rFonts w:cs="Arial"/>
          <w:sz w:val="20"/>
          <w:szCs w:val="20"/>
          <w:u w:val="single"/>
        </w:rPr>
        <w:t>rule for DL SPS deferral:</w:t>
      </w:r>
      <w:r w:rsidR="00FB01C6">
        <w:rPr>
          <w:rFonts w:cs="Arial"/>
          <w:sz w:val="20"/>
          <w:szCs w:val="20"/>
        </w:rPr>
        <w:t xml:space="preserve"> </w:t>
      </w:r>
      <w:r w:rsidR="00EF7F5E" w:rsidRPr="007F78BE">
        <w:rPr>
          <w:rFonts w:cs="Arial"/>
          <w:sz w:val="20"/>
          <w:szCs w:val="20"/>
        </w:rPr>
        <w:t xml:space="preserve">When </w:t>
      </w:r>
      <w:r w:rsidR="00BA349B">
        <w:rPr>
          <w:rFonts w:cs="Arial"/>
          <w:sz w:val="20"/>
          <w:szCs w:val="20"/>
        </w:rPr>
        <w:t>a</w:t>
      </w:r>
      <w:r w:rsidR="00EF7F5E" w:rsidRPr="007F78BE">
        <w:rPr>
          <w:rFonts w:cs="Arial"/>
          <w:sz w:val="20"/>
          <w:szCs w:val="20"/>
        </w:rPr>
        <w:t xml:space="preserve"> </w:t>
      </w:r>
      <w:r w:rsidR="00365078" w:rsidRPr="007F78BE">
        <w:rPr>
          <w:rFonts w:cs="Arial"/>
          <w:sz w:val="20"/>
          <w:szCs w:val="20"/>
        </w:rPr>
        <w:t>PUCCH</w:t>
      </w:r>
      <w:r w:rsidR="004B372E" w:rsidRPr="007F78BE">
        <w:rPr>
          <w:rFonts w:cs="Arial"/>
          <w:sz w:val="20"/>
          <w:szCs w:val="20"/>
        </w:rPr>
        <w:t xml:space="preserve"> </w:t>
      </w:r>
      <w:r w:rsidR="00205AF9">
        <w:rPr>
          <w:rFonts w:cs="Arial"/>
          <w:sz w:val="20"/>
          <w:szCs w:val="20"/>
        </w:rPr>
        <w:t>carrying</w:t>
      </w:r>
      <w:r w:rsidR="004B372E" w:rsidRPr="007F78BE">
        <w:rPr>
          <w:rFonts w:cs="Arial"/>
          <w:sz w:val="20"/>
          <w:szCs w:val="20"/>
        </w:rPr>
        <w:t xml:space="preserve"> </w:t>
      </w:r>
      <w:r w:rsidR="00EF7F5E" w:rsidRPr="007F78BE">
        <w:rPr>
          <w:rFonts w:cs="Arial"/>
          <w:sz w:val="20"/>
          <w:szCs w:val="20"/>
        </w:rPr>
        <w:t xml:space="preserve">SPS HARQ-ACK partially overlaps </w:t>
      </w:r>
      <w:r w:rsidR="001D528F">
        <w:rPr>
          <w:rFonts w:cs="Arial"/>
          <w:sz w:val="20"/>
          <w:szCs w:val="20"/>
        </w:rPr>
        <w:t xml:space="preserve">in a slot </w:t>
      </w:r>
      <w:r w:rsidR="00EF7F5E" w:rsidRPr="007F78BE">
        <w:rPr>
          <w:rFonts w:cs="Arial"/>
          <w:sz w:val="20"/>
          <w:szCs w:val="20"/>
        </w:rPr>
        <w:t xml:space="preserve">with </w:t>
      </w:r>
      <w:r w:rsidR="00367DAD">
        <w:rPr>
          <w:rFonts w:cs="Arial"/>
          <w:sz w:val="20"/>
          <w:szCs w:val="20"/>
        </w:rPr>
        <w:t>a</w:t>
      </w:r>
      <w:r w:rsidR="00EF7F5E" w:rsidRPr="007F78BE">
        <w:rPr>
          <w:rFonts w:cs="Arial"/>
          <w:sz w:val="20"/>
          <w:szCs w:val="20"/>
        </w:rPr>
        <w:t xml:space="preserve"> PUCCH repetition</w:t>
      </w:r>
      <w:r w:rsidR="00FB01C6">
        <w:rPr>
          <w:rFonts w:cs="Arial"/>
          <w:sz w:val="20"/>
          <w:szCs w:val="20"/>
        </w:rPr>
        <w:t>(</w:t>
      </w:r>
      <w:r w:rsidR="00EF7F5E" w:rsidRPr="007F78BE">
        <w:rPr>
          <w:rFonts w:cs="Arial"/>
          <w:sz w:val="20"/>
          <w:szCs w:val="20"/>
        </w:rPr>
        <w:t>s</w:t>
      </w:r>
      <w:r w:rsidR="00FB01C6">
        <w:rPr>
          <w:rFonts w:cs="Arial"/>
          <w:sz w:val="20"/>
          <w:szCs w:val="20"/>
        </w:rPr>
        <w:t>)</w:t>
      </w:r>
      <w:r w:rsidR="007305ED" w:rsidRPr="007F78BE">
        <w:rPr>
          <w:rFonts w:cs="Arial"/>
          <w:sz w:val="20"/>
          <w:szCs w:val="20"/>
        </w:rPr>
        <w:t xml:space="preserve"> </w:t>
      </w:r>
      <w:r w:rsidR="001D528F">
        <w:rPr>
          <w:rFonts w:cs="Arial"/>
          <w:sz w:val="20"/>
          <w:szCs w:val="20"/>
        </w:rPr>
        <w:t xml:space="preserve">that is </w:t>
      </w:r>
      <w:r w:rsidR="00FB01C6">
        <w:rPr>
          <w:rFonts w:cs="Arial"/>
          <w:sz w:val="20"/>
          <w:szCs w:val="20"/>
        </w:rPr>
        <w:t xml:space="preserve">started </w:t>
      </w:r>
      <w:r w:rsidR="00BA349B">
        <w:rPr>
          <w:rFonts w:cs="Arial"/>
          <w:sz w:val="20"/>
          <w:szCs w:val="20"/>
        </w:rPr>
        <w:t>earlier</w:t>
      </w:r>
      <w:r w:rsidR="00FB01C6">
        <w:rPr>
          <w:rFonts w:cs="Arial"/>
          <w:sz w:val="20"/>
          <w:szCs w:val="20"/>
        </w:rPr>
        <w:t xml:space="preserve"> and </w:t>
      </w:r>
      <w:r w:rsidR="007305ED" w:rsidRPr="007F78BE">
        <w:rPr>
          <w:rFonts w:cs="Arial"/>
          <w:sz w:val="20"/>
          <w:szCs w:val="20"/>
        </w:rPr>
        <w:t>c</w:t>
      </w:r>
      <w:r w:rsidR="00FB01C6">
        <w:rPr>
          <w:rFonts w:cs="Arial"/>
          <w:sz w:val="20"/>
          <w:szCs w:val="20"/>
        </w:rPr>
        <w:t>arr</w:t>
      </w:r>
      <w:r w:rsidR="00205AF9">
        <w:rPr>
          <w:rFonts w:cs="Arial"/>
          <w:sz w:val="20"/>
          <w:szCs w:val="20"/>
        </w:rPr>
        <w:t>ies</w:t>
      </w:r>
      <w:r w:rsidR="007305ED" w:rsidRPr="007F78BE">
        <w:rPr>
          <w:rFonts w:cs="Arial"/>
          <w:sz w:val="20"/>
          <w:szCs w:val="20"/>
        </w:rPr>
        <w:t xml:space="preserve"> HARQ-ACK</w:t>
      </w:r>
      <w:r w:rsidR="00EF7F5E" w:rsidRPr="007F78BE">
        <w:rPr>
          <w:rFonts w:cs="Arial"/>
          <w:sz w:val="20"/>
          <w:szCs w:val="20"/>
        </w:rPr>
        <w:t xml:space="preserve">, </w:t>
      </w:r>
      <w:r w:rsidR="004B372E" w:rsidRPr="007F78BE">
        <w:rPr>
          <w:rFonts w:cs="Arial"/>
          <w:sz w:val="20"/>
          <w:szCs w:val="20"/>
        </w:rPr>
        <w:t xml:space="preserve">that slot </w:t>
      </w:r>
      <w:r w:rsidR="00BD28AC" w:rsidRPr="007F78BE">
        <w:rPr>
          <w:rFonts w:cs="Arial"/>
          <w:sz w:val="20"/>
          <w:szCs w:val="20"/>
        </w:rPr>
        <w:t xml:space="preserve">is assumed </w:t>
      </w:r>
      <w:r w:rsidR="00057AA8" w:rsidRPr="007F78BE">
        <w:rPr>
          <w:rFonts w:cs="Arial"/>
          <w:sz w:val="20"/>
          <w:szCs w:val="20"/>
        </w:rPr>
        <w:t>un</w:t>
      </w:r>
      <w:r w:rsidR="00BD28AC" w:rsidRPr="007F78BE">
        <w:rPr>
          <w:rFonts w:cs="Arial"/>
          <w:sz w:val="20"/>
          <w:szCs w:val="20"/>
        </w:rPr>
        <w:t>avai</w:t>
      </w:r>
      <w:r w:rsidR="0030028C" w:rsidRPr="007F78BE">
        <w:rPr>
          <w:rFonts w:cs="Arial"/>
          <w:sz w:val="20"/>
          <w:szCs w:val="20"/>
        </w:rPr>
        <w:t>la</w:t>
      </w:r>
      <w:r w:rsidR="00BD28AC" w:rsidRPr="007F78BE">
        <w:rPr>
          <w:rFonts w:cs="Arial"/>
          <w:sz w:val="20"/>
          <w:szCs w:val="20"/>
        </w:rPr>
        <w:t xml:space="preserve">ble </w:t>
      </w:r>
      <w:r w:rsidR="00BA349B">
        <w:rPr>
          <w:rFonts w:cs="Arial"/>
          <w:sz w:val="20"/>
          <w:szCs w:val="20"/>
        </w:rPr>
        <w:t xml:space="preserve">for </w:t>
      </w:r>
      <w:r w:rsidR="002F5DA9">
        <w:rPr>
          <w:rFonts w:cs="Arial"/>
          <w:sz w:val="20"/>
          <w:szCs w:val="20"/>
        </w:rPr>
        <w:t xml:space="preserve">DL SPS deferral </w:t>
      </w:r>
      <w:r w:rsidR="00B94024">
        <w:rPr>
          <w:rFonts w:cs="Arial"/>
          <w:sz w:val="20"/>
          <w:szCs w:val="20"/>
        </w:rPr>
        <w:t>for</w:t>
      </w:r>
      <w:r w:rsidR="00205AF9">
        <w:rPr>
          <w:rFonts w:cs="Arial"/>
          <w:sz w:val="20"/>
          <w:szCs w:val="20"/>
        </w:rPr>
        <w:t xml:space="preserve"> PUCCH </w:t>
      </w:r>
      <w:r w:rsidR="00F870EC">
        <w:rPr>
          <w:rFonts w:cs="Arial"/>
          <w:sz w:val="20"/>
          <w:szCs w:val="20"/>
        </w:rPr>
        <w:t xml:space="preserve">carrying SPS HARQ-ACK. </w:t>
      </w:r>
      <w:r w:rsidR="0030028C" w:rsidRPr="007F78BE">
        <w:rPr>
          <w:rFonts w:cs="Arial"/>
          <w:sz w:val="20"/>
          <w:szCs w:val="20"/>
        </w:rPr>
        <w:t xml:space="preserve">and </w:t>
      </w:r>
      <w:r w:rsidR="00B94024">
        <w:rPr>
          <w:rFonts w:cs="Arial"/>
          <w:sz w:val="20"/>
          <w:szCs w:val="20"/>
        </w:rPr>
        <w:t>the DL</w:t>
      </w:r>
      <w:r w:rsidR="00F870EC" w:rsidRPr="007F78BE">
        <w:rPr>
          <w:rFonts w:cs="Arial"/>
          <w:sz w:val="20"/>
          <w:szCs w:val="20"/>
        </w:rPr>
        <w:t xml:space="preserve"> SPS HARQ-ACK </w:t>
      </w:r>
      <w:r w:rsidR="00EF7F5E" w:rsidRPr="007F78BE">
        <w:rPr>
          <w:rFonts w:cs="Arial"/>
          <w:sz w:val="20"/>
          <w:szCs w:val="20"/>
        </w:rPr>
        <w:t xml:space="preserve">can be deferred further </w:t>
      </w:r>
      <w:r w:rsidR="0055372C">
        <w:rPr>
          <w:rFonts w:cs="Arial"/>
          <w:sz w:val="20"/>
          <w:szCs w:val="20"/>
        </w:rPr>
        <w:t>to determine target slot</w:t>
      </w:r>
      <w:r w:rsidR="005E209E" w:rsidRPr="007F78BE">
        <w:rPr>
          <w:rFonts w:cs="Arial"/>
          <w:sz w:val="20"/>
          <w:szCs w:val="20"/>
        </w:rPr>
        <w:t>.</w:t>
      </w:r>
      <w:bookmarkEnd w:id="38"/>
    </w:p>
    <w:p w14:paraId="2C00047A" w14:textId="5499109E" w:rsidR="007C0FFE" w:rsidRDefault="007C0FFE" w:rsidP="00442BFD">
      <w:pPr>
        <w:pStyle w:val="BodyText"/>
        <w:rPr>
          <w:sz w:val="20"/>
          <w:szCs w:val="20"/>
        </w:rPr>
      </w:pPr>
    </w:p>
    <w:p w14:paraId="24D5F3ED" w14:textId="76F663FB" w:rsidR="002D73D2" w:rsidRDefault="002D73D2" w:rsidP="00442BFD">
      <w:pPr>
        <w:pStyle w:val="BodyText"/>
        <w:rPr>
          <w:rFonts w:cs="Arial"/>
          <w:sz w:val="20"/>
          <w:szCs w:val="20"/>
        </w:rPr>
      </w:pPr>
      <w:r>
        <w:rPr>
          <w:rFonts w:cs="Arial"/>
          <w:sz w:val="20"/>
          <w:szCs w:val="20"/>
        </w:rPr>
        <w:t xml:space="preserve">It is shown in </w:t>
      </w:r>
      <w:r>
        <w:rPr>
          <w:rFonts w:cs="Arial"/>
          <w:sz w:val="20"/>
          <w:szCs w:val="20"/>
        </w:rPr>
        <w:fldChar w:fldCharType="begin"/>
      </w:r>
      <w:r>
        <w:rPr>
          <w:rFonts w:cs="Arial"/>
          <w:sz w:val="20"/>
          <w:szCs w:val="20"/>
        </w:rPr>
        <w:instrText xml:space="preserve"> REF _Ref90510765 \h </w:instrText>
      </w:r>
      <w:r>
        <w:rPr>
          <w:rFonts w:cs="Arial"/>
          <w:sz w:val="20"/>
          <w:szCs w:val="20"/>
        </w:rPr>
      </w:r>
      <w:r>
        <w:rPr>
          <w:rFonts w:cs="Arial"/>
          <w:sz w:val="20"/>
          <w:szCs w:val="20"/>
        </w:rPr>
        <w:fldChar w:fldCharType="separate"/>
      </w:r>
      <w:r w:rsidR="00FE7376" w:rsidRPr="00034F56">
        <w:t xml:space="preserve">Figure </w:t>
      </w:r>
      <w:r w:rsidR="00FE7376" w:rsidRPr="00034F56">
        <w:rPr>
          <w:noProof/>
        </w:rPr>
        <w:t>3</w:t>
      </w:r>
      <w:r>
        <w:rPr>
          <w:rFonts w:cs="Arial"/>
          <w:sz w:val="20"/>
          <w:szCs w:val="20"/>
        </w:rPr>
        <w:fldChar w:fldCharType="end"/>
      </w:r>
      <w:r>
        <w:rPr>
          <w:rFonts w:cs="Arial"/>
          <w:sz w:val="20"/>
          <w:szCs w:val="20"/>
        </w:rPr>
        <w:t xml:space="preserve"> when the proposed repetition rule for DL SPS deferral is applied to Alt1 or Alt3 which are referred to as Alt1-a and Alt3-a, respectively, the issue of PUCCH dropping is resolved.</w:t>
      </w:r>
    </w:p>
    <w:p w14:paraId="51513627" w14:textId="77777777" w:rsidR="002D73D2" w:rsidRDefault="002D73D2" w:rsidP="00442BFD">
      <w:pPr>
        <w:pStyle w:val="BodyText"/>
        <w:rPr>
          <w:b/>
          <w:bCs/>
          <w:sz w:val="20"/>
          <w:szCs w:val="20"/>
          <w:u w:val="single"/>
        </w:rPr>
      </w:pPr>
    </w:p>
    <w:p w14:paraId="0F1F645A" w14:textId="439E23F3" w:rsidR="002D2865" w:rsidRPr="00FE7376" w:rsidRDefault="00E541A1" w:rsidP="00442BFD">
      <w:pPr>
        <w:pStyle w:val="BodyText"/>
        <w:rPr>
          <w:b/>
          <w:bCs/>
          <w:sz w:val="20"/>
          <w:szCs w:val="20"/>
          <w:u w:val="single"/>
        </w:rPr>
      </w:pPr>
      <w:r w:rsidRPr="00FE7376">
        <w:rPr>
          <w:b/>
          <w:bCs/>
          <w:sz w:val="20"/>
          <w:szCs w:val="20"/>
          <w:u w:val="single"/>
        </w:rPr>
        <w:t>C</w:t>
      </w:r>
      <w:r w:rsidR="00DE3C9C" w:rsidRPr="00FE7376">
        <w:rPr>
          <w:b/>
          <w:bCs/>
          <w:sz w:val="20"/>
          <w:szCs w:val="20"/>
          <w:u w:val="single"/>
        </w:rPr>
        <w:t>omparison of Alt1 and Alt3:</w:t>
      </w:r>
    </w:p>
    <w:p w14:paraId="27CE581C" w14:textId="4F05B42F" w:rsidR="002D2865" w:rsidRPr="007F78BE" w:rsidRDefault="0055372C" w:rsidP="002D2865">
      <w:pPr>
        <w:rPr>
          <w:rFonts w:ascii="Arial" w:hAnsi="Arial" w:cs="Arial"/>
          <w:sz w:val="20"/>
          <w:szCs w:val="20"/>
        </w:rPr>
      </w:pPr>
      <w:r>
        <w:rPr>
          <w:rFonts w:ascii="Arial" w:hAnsi="Arial" w:cs="Arial"/>
          <w:sz w:val="20"/>
          <w:szCs w:val="20"/>
        </w:rPr>
        <w:t xml:space="preserve">With respect to </w:t>
      </w:r>
      <w:r w:rsidR="00BE4552">
        <w:rPr>
          <w:rFonts w:ascii="Arial" w:hAnsi="Arial" w:cs="Arial"/>
          <w:sz w:val="20"/>
          <w:szCs w:val="20"/>
        </w:rPr>
        <w:t>decid</w:t>
      </w:r>
      <w:r w:rsidR="003872F3">
        <w:rPr>
          <w:rFonts w:ascii="Arial" w:hAnsi="Arial" w:cs="Arial"/>
          <w:sz w:val="20"/>
          <w:szCs w:val="20"/>
        </w:rPr>
        <w:t>ing</w:t>
      </w:r>
      <w:r w:rsidR="00BE4552">
        <w:rPr>
          <w:rFonts w:ascii="Arial" w:hAnsi="Arial" w:cs="Arial"/>
          <w:sz w:val="20"/>
          <w:szCs w:val="20"/>
        </w:rPr>
        <w:t xml:space="preserve"> between A</w:t>
      </w:r>
      <w:r w:rsidR="00837E55">
        <w:rPr>
          <w:rFonts w:ascii="Arial" w:hAnsi="Arial" w:cs="Arial"/>
          <w:sz w:val="20"/>
          <w:szCs w:val="20"/>
        </w:rPr>
        <w:t>l</w:t>
      </w:r>
      <w:r w:rsidR="00BE4552">
        <w:rPr>
          <w:rFonts w:ascii="Arial" w:hAnsi="Arial" w:cs="Arial"/>
          <w:sz w:val="20"/>
          <w:szCs w:val="20"/>
        </w:rPr>
        <w:t>t</w:t>
      </w:r>
      <w:r w:rsidR="00837E55">
        <w:rPr>
          <w:rFonts w:ascii="Arial" w:hAnsi="Arial" w:cs="Arial"/>
          <w:sz w:val="20"/>
          <w:szCs w:val="20"/>
        </w:rPr>
        <w:t>.1 and Alt. 3</w:t>
      </w:r>
      <w:r w:rsidR="005267AD">
        <w:rPr>
          <w:rFonts w:ascii="Arial" w:hAnsi="Arial" w:cs="Arial"/>
          <w:sz w:val="20"/>
          <w:szCs w:val="20"/>
        </w:rPr>
        <w:t>,</w:t>
      </w:r>
      <w:r w:rsidR="00837E55">
        <w:rPr>
          <w:rFonts w:ascii="Arial" w:hAnsi="Arial" w:cs="Arial"/>
          <w:sz w:val="20"/>
          <w:szCs w:val="20"/>
        </w:rPr>
        <w:t xml:space="preserve"> w</w:t>
      </w:r>
      <w:r w:rsidR="002D2865">
        <w:rPr>
          <w:rFonts w:ascii="Arial" w:hAnsi="Arial" w:cs="Arial"/>
          <w:sz w:val="20"/>
          <w:szCs w:val="20"/>
        </w:rPr>
        <w:t xml:space="preserve">e </w:t>
      </w:r>
      <w:r w:rsidR="005267AD">
        <w:rPr>
          <w:rFonts w:ascii="Arial" w:hAnsi="Arial" w:cs="Arial"/>
          <w:sz w:val="20"/>
          <w:szCs w:val="20"/>
        </w:rPr>
        <w:t>are</w:t>
      </w:r>
      <w:r w:rsidR="002D2865">
        <w:rPr>
          <w:rFonts w:ascii="Arial" w:hAnsi="Arial" w:cs="Arial"/>
          <w:sz w:val="20"/>
          <w:szCs w:val="20"/>
        </w:rPr>
        <w:t xml:space="preserve"> supportive of Alt 3</w:t>
      </w:r>
      <w:r w:rsidR="00837E55">
        <w:rPr>
          <w:rFonts w:ascii="Arial" w:hAnsi="Arial" w:cs="Arial"/>
          <w:sz w:val="20"/>
          <w:szCs w:val="20"/>
        </w:rPr>
        <w:t xml:space="preserve"> since it </w:t>
      </w:r>
      <w:r w:rsidR="00EE5ADE">
        <w:rPr>
          <w:rFonts w:ascii="Arial" w:hAnsi="Arial" w:cs="Arial"/>
          <w:sz w:val="20"/>
          <w:szCs w:val="20"/>
        </w:rPr>
        <w:t xml:space="preserve">provides a clean </w:t>
      </w:r>
      <w:r w:rsidR="00804284">
        <w:rPr>
          <w:rFonts w:ascii="Arial" w:hAnsi="Arial" w:cs="Arial"/>
          <w:sz w:val="20"/>
          <w:szCs w:val="20"/>
        </w:rPr>
        <w:t xml:space="preserve">solution and it </w:t>
      </w:r>
      <w:r w:rsidR="000C5A49">
        <w:rPr>
          <w:rFonts w:ascii="Arial" w:hAnsi="Arial" w:cs="Arial"/>
          <w:sz w:val="20"/>
          <w:szCs w:val="20"/>
        </w:rPr>
        <w:t>resonate</w:t>
      </w:r>
      <w:r w:rsidR="00804284">
        <w:rPr>
          <w:rFonts w:ascii="Arial" w:hAnsi="Arial" w:cs="Arial"/>
          <w:sz w:val="20"/>
          <w:szCs w:val="20"/>
        </w:rPr>
        <w:t xml:space="preserve"> </w:t>
      </w:r>
      <w:r w:rsidR="000C5A49">
        <w:rPr>
          <w:rFonts w:ascii="Arial" w:hAnsi="Arial" w:cs="Arial"/>
          <w:sz w:val="20"/>
          <w:szCs w:val="20"/>
        </w:rPr>
        <w:t xml:space="preserve">with the </w:t>
      </w:r>
      <w:r w:rsidR="005267AD">
        <w:rPr>
          <w:rFonts w:ascii="Arial" w:hAnsi="Arial" w:cs="Arial"/>
          <w:sz w:val="20"/>
          <w:szCs w:val="20"/>
        </w:rPr>
        <w:t>purpose of repetition</w:t>
      </w:r>
      <w:r w:rsidR="002D2865">
        <w:rPr>
          <w:rFonts w:ascii="Arial" w:hAnsi="Arial" w:cs="Arial"/>
          <w:sz w:val="20"/>
          <w:szCs w:val="20"/>
        </w:rPr>
        <w:t xml:space="preserve">. </w:t>
      </w:r>
      <w:r w:rsidR="002D2865" w:rsidRPr="007F78BE">
        <w:rPr>
          <w:rFonts w:ascii="Arial" w:hAnsi="Arial" w:cs="Arial"/>
          <w:sz w:val="20"/>
          <w:szCs w:val="20"/>
        </w:rPr>
        <w:t>From our perspective</w:t>
      </w:r>
      <w:r w:rsidR="005267AD">
        <w:rPr>
          <w:rFonts w:ascii="Arial" w:hAnsi="Arial" w:cs="Arial"/>
          <w:sz w:val="20"/>
          <w:szCs w:val="20"/>
        </w:rPr>
        <w:t>,</w:t>
      </w:r>
      <w:r w:rsidR="002D2865" w:rsidRPr="007F78BE">
        <w:rPr>
          <w:rFonts w:ascii="Arial" w:hAnsi="Arial" w:cs="Arial"/>
          <w:sz w:val="20"/>
          <w:szCs w:val="20"/>
        </w:rPr>
        <w:t xml:space="preserve"> </w:t>
      </w:r>
      <w:r w:rsidR="005267AD" w:rsidRPr="007F78BE">
        <w:rPr>
          <w:rFonts w:ascii="Arial" w:hAnsi="Arial" w:cs="Arial"/>
          <w:sz w:val="20"/>
          <w:szCs w:val="20"/>
        </w:rPr>
        <w:t>one</w:t>
      </w:r>
      <w:r w:rsidR="002D2865" w:rsidRPr="007F78BE">
        <w:rPr>
          <w:rFonts w:ascii="Arial" w:hAnsi="Arial" w:cs="Arial"/>
          <w:sz w:val="20"/>
          <w:szCs w:val="20"/>
        </w:rPr>
        <w:t xml:space="preserve"> should apply first D</w:t>
      </w:r>
      <w:r w:rsidR="0053020F">
        <w:rPr>
          <w:rFonts w:ascii="Arial" w:hAnsi="Arial" w:cs="Arial"/>
          <w:sz w:val="20"/>
          <w:szCs w:val="20"/>
        </w:rPr>
        <w:t>L</w:t>
      </w:r>
      <w:r w:rsidR="002D2865" w:rsidRPr="007F78BE">
        <w:rPr>
          <w:rFonts w:ascii="Arial" w:hAnsi="Arial" w:cs="Arial"/>
          <w:sz w:val="20"/>
          <w:szCs w:val="20"/>
        </w:rPr>
        <w:t xml:space="preserve"> SPS deferral and then PUCCH repetition. The reason is that PUCCH repetition is intended to improve coverage for the PUCCH that is going to be transmitted. Hence, if there is any DL SPS HARQ-ACK that is subject to deferral, one should determine first the PUCCH that would </w:t>
      </w:r>
      <w:r w:rsidR="005267AD">
        <w:rPr>
          <w:rFonts w:ascii="Arial" w:hAnsi="Arial" w:cs="Arial"/>
          <w:sz w:val="20"/>
          <w:szCs w:val="20"/>
        </w:rPr>
        <w:t>be transmitted</w:t>
      </w:r>
      <w:r w:rsidR="002D2865" w:rsidRPr="007F78BE">
        <w:rPr>
          <w:rFonts w:ascii="Arial" w:hAnsi="Arial" w:cs="Arial"/>
          <w:sz w:val="20"/>
          <w:szCs w:val="20"/>
        </w:rPr>
        <w:t xml:space="preserve"> (</w:t>
      </w:r>
      <w:proofErr w:type="gramStart"/>
      <w:r w:rsidR="002D2865" w:rsidRPr="007F78BE">
        <w:rPr>
          <w:rFonts w:ascii="Arial" w:hAnsi="Arial" w:cs="Arial"/>
          <w:sz w:val="20"/>
          <w:szCs w:val="20"/>
        </w:rPr>
        <w:t>i.e.</w:t>
      </w:r>
      <w:proofErr w:type="gramEnd"/>
      <w:r w:rsidR="002D2865" w:rsidRPr="007F78BE">
        <w:rPr>
          <w:rFonts w:ascii="Arial" w:hAnsi="Arial" w:cs="Arial"/>
          <w:sz w:val="20"/>
          <w:szCs w:val="20"/>
        </w:rPr>
        <w:t xml:space="preserve"> target slot), and then apply repetition to improve the coverage of the corresponding PUCCH.</w:t>
      </w:r>
    </w:p>
    <w:p w14:paraId="3216F088" w14:textId="77777777" w:rsidR="002D2865" w:rsidRPr="007F78BE" w:rsidRDefault="002D2865" w:rsidP="002D2865">
      <w:pPr>
        <w:rPr>
          <w:rFonts w:ascii="Arial" w:hAnsi="Arial" w:cs="Arial"/>
          <w:sz w:val="20"/>
          <w:szCs w:val="20"/>
        </w:rPr>
      </w:pPr>
      <w:r w:rsidRPr="007F78BE">
        <w:rPr>
          <w:rFonts w:ascii="Arial" w:hAnsi="Arial" w:cs="Arial"/>
          <w:sz w:val="20"/>
          <w:szCs w:val="20"/>
        </w:rPr>
        <w:t>Another important aspect is that deferral in DL SPS HARQ-ACK is limited while that is not the case. Hence, mixing these two schemes is not reasonable and unnecessarily complicates the design.</w:t>
      </w:r>
    </w:p>
    <w:p w14:paraId="0A6CD530" w14:textId="3EE2ABE5" w:rsidR="000A24FD" w:rsidRDefault="0053020F" w:rsidP="000A24FD">
      <w:pPr>
        <w:rPr>
          <w:rFonts w:ascii="Arial" w:hAnsi="Arial" w:cs="Arial"/>
          <w:sz w:val="20"/>
          <w:szCs w:val="20"/>
        </w:rPr>
      </w:pPr>
      <w:r>
        <w:rPr>
          <w:rFonts w:ascii="Arial" w:hAnsi="Arial" w:cs="Arial"/>
          <w:sz w:val="20"/>
          <w:szCs w:val="20"/>
        </w:rPr>
        <w:t>Additionally, a</w:t>
      </w:r>
      <w:r w:rsidR="000A24FD">
        <w:rPr>
          <w:rFonts w:ascii="Arial" w:hAnsi="Arial" w:cs="Arial"/>
          <w:sz w:val="20"/>
          <w:szCs w:val="20"/>
        </w:rPr>
        <w:t>s shown in</w:t>
      </w:r>
      <w:r w:rsidR="000F6D86">
        <w:rPr>
          <w:rFonts w:ascii="Arial" w:hAnsi="Arial" w:cs="Arial"/>
          <w:sz w:val="20"/>
          <w:szCs w:val="20"/>
        </w:rPr>
        <w:t xml:space="preserve"> </w:t>
      </w:r>
      <w:r w:rsidR="000F6D86">
        <w:rPr>
          <w:rFonts w:ascii="Arial" w:hAnsi="Arial" w:cs="Arial"/>
          <w:sz w:val="20"/>
          <w:szCs w:val="20"/>
        </w:rPr>
        <w:fldChar w:fldCharType="begin"/>
      </w:r>
      <w:r w:rsidR="000F6D86">
        <w:rPr>
          <w:rFonts w:ascii="Arial" w:hAnsi="Arial" w:cs="Arial"/>
          <w:sz w:val="20"/>
          <w:szCs w:val="20"/>
        </w:rPr>
        <w:instrText xml:space="preserve"> REF _Ref90510765 \h </w:instrText>
      </w:r>
      <w:r w:rsidR="000F6D86">
        <w:rPr>
          <w:rFonts w:ascii="Arial" w:hAnsi="Arial" w:cs="Arial"/>
          <w:sz w:val="20"/>
          <w:szCs w:val="20"/>
        </w:rPr>
      </w:r>
      <w:r w:rsidR="000F6D86">
        <w:rPr>
          <w:rFonts w:ascii="Arial" w:hAnsi="Arial" w:cs="Arial"/>
          <w:sz w:val="20"/>
          <w:szCs w:val="20"/>
        </w:rPr>
        <w:fldChar w:fldCharType="separate"/>
      </w:r>
      <w:r w:rsidR="00FE7376" w:rsidRPr="00034F56">
        <w:t xml:space="preserve">Figure </w:t>
      </w:r>
      <w:r w:rsidR="00FE7376" w:rsidRPr="00034F56">
        <w:rPr>
          <w:noProof/>
        </w:rPr>
        <w:t>3</w:t>
      </w:r>
      <w:r w:rsidR="000F6D86">
        <w:rPr>
          <w:rFonts w:ascii="Arial" w:hAnsi="Arial" w:cs="Arial"/>
          <w:sz w:val="20"/>
          <w:szCs w:val="20"/>
        </w:rPr>
        <w:fldChar w:fldCharType="end"/>
      </w:r>
      <w:r w:rsidR="000A24FD">
        <w:rPr>
          <w:rFonts w:ascii="Arial" w:hAnsi="Arial" w:cs="Arial"/>
          <w:sz w:val="20"/>
          <w:szCs w:val="20"/>
        </w:rPr>
        <w:t xml:space="preserve">, when the proposed </w:t>
      </w:r>
      <w:r>
        <w:rPr>
          <w:rFonts w:ascii="Arial" w:hAnsi="Arial" w:cs="Arial"/>
          <w:sz w:val="20"/>
          <w:szCs w:val="20"/>
        </w:rPr>
        <w:t xml:space="preserve">repetition rule </w:t>
      </w:r>
      <w:r w:rsidR="00B27EAA">
        <w:rPr>
          <w:rFonts w:ascii="Arial" w:hAnsi="Arial" w:cs="Arial"/>
          <w:sz w:val="20"/>
          <w:szCs w:val="20"/>
        </w:rPr>
        <w:t>for DL SPS</w:t>
      </w:r>
      <w:r w:rsidR="002D73D2">
        <w:rPr>
          <w:rFonts w:ascii="Arial" w:hAnsi="Arial" w:cs="Arial"/>
          <w:sz w:val="20"/>
          <w:szCs w:val="20"/>
        </w:rPr>
        <w:t xml:space="preserve"> deferral</w:t>
      </w:r>
      <w:r w:rsidR="000A24FD">
        <w:rPr>
          <w:rFonts w:ascii="Arial" w:hAnsi="Arial" w:cs="Arial"/>
          <w:sz w:val="20"/>
          <w:szCs w:val="20"/>
        </w:rPr>
        <w:t xml:space="preserve"> is applied to Alt1 or Alt3 which are referred to as Alt1-a and Alt3-a, respectively, th</w:t>
      </w:r>
      <w:r w:rsidR="00B83169">
        <w:rPr>
          <w:rFonts w:ascii="Arial" w:hAnsi="Arial" w:cs="Arial"/>
          <w:sz w:val="20"/>
          <w:szCs w:val="20"/>
        </w:rPr>
        <w:t>e</w:t>
      </w:r>
      <w:r w:rsidR="000A24FD">
        <w:rPr>
          <w:rFonts w:ascii="Arial" w:hAnsi="Arial" w:cs="Arial"/>
          <w:sz w:val="20"/>
          <w:szCs w:val="20"/>
        </w:rPr>
        <w:t xml:space="preserve"> issue of PUCCH dropping </w:t>
      </w:r>
      <w:r w:rsidR="00B83169">
        <w:rPr>
          <w:rFonts w:ascii="Arial" w:hAnsi="Arial" w:cs="Arial"/>
          <w:sz w:val="20"/>
          <w:szCs w:val="20"/>
        </w:rPr>
        <w:t xml:space="preserve">discussed previously </w:t>
      </w:r>
      <w:r w:rsidR="000A24FD">
        <w:rPr>
          <w:rFonts w:ascii="Arial" w:hAnsi="Arial" w:cs="Arial"/>
          <w:sz w:val="20"/>
          <w:szCs w:val="20"/>
        </w:rPr>
        <w:t>is resolved. However, it can be clearly observed the advantage of Alt 3 as compared to Alt 1 in reducing the latency. Therefore, we suggest adopting Alt 3 with the additio</w:t>
      </w:r>
      <w:r w:rsidR="006F14C6">
        <w:rPr>
          <w:rFonts w:ascii="Arial" w:hAnsi="Arial" w:cs="Arial"/>
          <w:sz w:val="20"/>
          <w:szCs w:val="20"/>
        </w:rPr>
        <w:t>nal rep</w:t>
      </w:r>
      <w:r w:rsidR="006C0FC1">
        <w:rPr>
          <w:rFonts w:ascii="Arial" w:hAnsi="Arial" w:cs="Arial"/>
          <w:sz w:val="20"/>
          <w:szCs w:val="20"/>
        </w:rPr>
        <w:t>e</w:t>
      </w:r>
      <w:r w:rsidR="006F14C6">
        <w:rPr>
          <w:rFonts w:ascii="Arial" w:hAnsi="Arial" w:cs="Arial"/>
          <w:sz w:val="20"/>
          <w:szCs w:val="20"/>
        </w:rPr>
        <w:t xml:space="preserve">tition rule for DL SPS deferral </w:t>
      </w:r>
      <w:r w:rsidR="000A24FD">
        <w:rPr>
          <w:rFonts w:ascii="Arial" w:hAnsi="Arial" w:cs="Arial"/>
          <w:sz w:val="20"/>
          <w:szCs w:val="20"/>
        </w:rPr>
        <w:t>when DL SPS deferral and PUCCH repetition are simultaneously enabled.</w:t>
      </w:r>
    </w:p>
    <w:p w14:paraId="3667988B" w14:textId="77777777" w:rsidR="00B4332D" w:rsidRDefault="00B4332D" w:rsidP="000A24FD">
      <w:pPr>
        <w:rPr>
          <w:rFonts w:ascii="Arial" w:hAnsi="Arial" w:cs="Arial"/>
          <w:sz w:val="20"/>
          <w:szCs w:val="20"/>
        </w:rPr>
      </w:pPr>
    </w:p>
    <w:p w14:paraId="2D321636" w14:textId="60038083" w:rsidR="00B4332D" w:rsidRDefault="00B4332D" w:rsidP="00FE7376">
      <w:pPr>
        <w:pStyle w:val="Proposal"/>
      </w:pPr>
      <w:bookmarkStart w:id="39" w:name="_Toc90912984"/>
      <w:r>
        <w:t xml:space="preserve">Support Alt 3 together with the </w:t>
      </w:r>
      <w:r w:rsidR="00595588">
        <w:t>proposed repetition rule for DL SPS deferral (</w:t>
      </w:r>
      <w:proofErr w:type="gramStart"/>
      <w:r w:rsidR="00595588">
        <w:t>i.e.</w:t>
      </w:r>
      <w:proofErr w:type="gramEnd"/>
      <w:r w:rsidR="00595588">
        <w:t xml:space="preserve"> Proposal 2) when D</w:t>
      </w:r>
      <w:r w:rsidR="00837DCA">
        <w:t xml:space="preserve">L SPs deferral and PUCCH repetition </w:t>
      </w:r>
      <w:r w:rsidR="006A15F9">
        <w:t>are simultaneously enabled.</w:t>
      </w:r>
      <w:bookmarkEnd w:id="39"/>
    </w:p>
    <w:p w14:paraId="5A0B02BF" w14:textId="77777777" w:rsidR="00EB545D" w:rsidRPr="00FE7376" w:rsidRDefault="00EB545D" w:rsidP="00FE7376"/>
    <w:p w14:paraId="0183DF1F" w14:textId="77777777" w:rsidR="00CE4E44" w:rsidRDefault="00CE4E44"/>
    <w:p w14:paraId="264FEE19" w14:textId="636DF67E" w:rsidR="000F6D86" w:rsidRDefault="000F6D86" w:rsidP="00FE7376">
      <w:bookmarkStart w:id="40" w:name="_Toc90551687"/>
      <w:bookmarkEnd w:id="40"/>
    </w:p>
    <w:p w14:paraId="327AF1BF" w14:textId="1D6B995A" w:rsidR="000F6D86" w:rsidRPr="00034F56" w:rsidRDefault="000F6D86">
      <w:pPr>
        <w:keepNext/>
      </w:pPr>
    </w:p>
    <w:p w14:paraId="5E661232" w14:textId="7589E676" w:rsidR="002F1BF4" w:rsidRDefault="002F1BF4" w:rsidP="00FE7376">
      <w:pPr>
        <w:keepNext/>
      </w:pPr>
      <w:r w:rsidRPr="002F1BF4">
        <w:rPr>
          <w:noProof/>
        </w:rPr>
        <w:drawing>
          <wp:inline distT="0" distB="0" distL="0" distR="0" wp14:anchorId="465B3A86" wp14:editId="2E595CA9">
            <wp:extent cx="6120765" cy="2422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422525"/>
                    </a:xfrm>
                    <a:prstGeom prst="rect">
                      <a:avLst/>
                    </a:prstGeom>
                  </pic:spPr>
                </pic:pic>
              </a:graphicData>
            </a:graphic>
          </wp:inline>
        </w:drawing>
      </w:r>
    </w:p>
    <w:p w14:paraId="0C962F92" w14:textId="2DFAF14C" w:rsidR="000F6D86" w:rsidRPr="00FE7376" w:rsidRDefault="000F6D86" w:rsidP="00FE7376">
      <w:pPr>
        <w:pStyle w:val="Caption"/>
        <w:rPr>
          <w:rFonts w:cs="Arial"/>
          <w:sz w:val="20"/>
          <w:szCs w:val="20"/>
        </w:rPr>
      </w:pPr>
      <w:bookmarkStart w:id="41" w:name="_Ref90510765"/>
      <w:r w:rsidRPr="00034F56">
        <w:t xml:space="preserve">Figure </w:t>
      </w:r>
      <w:r w:rsidR="003872F3">
        <w:fldChar w:fldCharType="begin"/>
      </w:r>
      <w:r w:rsidR="003872F3" w:rsidRPr="00034F56">
        <w:instrText xml:space="preserve"> SEQ Figure \* ARABIC </w:instrText>
      </w:r>
      <w:r w:rsidR="003872F3">
        <w:fldChar w:fldCharType="separate"/>
      </w:r>
      <w:r w:rsidR="00FE7376" w:rsidRPr="00034F56">
        <w:rPr>
          <w:noProof/>
        </w:rPr>
        <w:t>3</w:t>
      </w:r>
      <w:r w:rsidR="003872F3">
        <w:rPr>
          <w:noProof/>
        </w:rPr>
        <w:fldChar w:fldCharType="end"/>
      </w:r>
      <w:bookmarkEnd w:id="41"/>
      <w:r w:rsidRPr="00034F56">
        <w:t xml:space="preserve">: </w:t>
      </w:r>
      <w:r w:rsidR="00E5544E" w:rsidRPr="00034F56">
        <w:t xml:space="preserve">Illustration of impact of repetition rules </w:t>
      </w:r>
      <w:r w:rsidR="001F75D9" w:rsidRPr="00034F56">
        <w:t xml:space="preserve">(Proposal 2) </w:t>
      </w:r>
      <w:r w:rsidR="00E5544E" w:rsidRPr="00034F56">
        <w:t>on DL SPS configurations</w:t>
      </w:r>
      <w:r w:rsidR="001F75D9" w:rsidRPr="00034F56">
        <w:t xml:space="preserve"> enabled with deferral</w:t>
      </w:r>
      <w:r w:rsidR="00E5544E" w:rsidRPr="00034F56">
        <w:t xml:space="preserve">. </w:t>
      </w:r>
      <w:r w:rsidR="007669D4" w:rsidRPr="00034F56">
        <w:t>Al</w:t>
      </w:r>
      <w:r w:rsidR="00200295" w:rsidRPr="00034F56">
        <w:t>t1-a and Alt</w:t>
      </w:r>
      <w:r w:rsidR="001061A8" w:rsidRPr="00034F56">
        <w:t xml:space="preserve">3-a refer to Alt1 and Alt3 with </w:t>
      </w:r>
      <w:r w:rsidR="00402FB1" w:rsidRPr="00034F56">
        <w:t xml:space="preserve">addition of </w:t>
      </w:r>
      <w:r w:rsidR="007669D4">
        <w:rPr>
          <w:rFonts w:ascii="Arial" w:hAnsi="Arial" w:cs="Arial"/>
          <w:sz w:val="20"/>
          <w:szCs w:val="20"/>
        </w:rPr>
        <w:t xml:space="preserve">the proposed repetition rule for DL SPS </w:t>
      </w:r>
      <w:r w:rsidR="007669D4">
        <w:rPr>
          <w:rFonts w:cs="Arial"/>
          <w:sz w:val="20"/>
          <w:szCs w:val="20"/>
        </w:rPr>
        <w:t>deferral</w:t>
      </w:r>
      <w:r w:rsidR="00402FB1">
        <w:rPr>
          <w:rFonts w:ascii="Arial" w:hAnsi="Arial" w:cs="Arial"/>
          <w:sz w:val="20"/>
          <w:szCs w:val="20"/>
        </w:rPr>
        <w:t xml:space="preserve"> in Proposal 2</w:t>
      </w:r>
      <w:r w:rsidR="007669D4">
        <w:rPr>
          <w:rFonts w:ascii="Arial" w:hAnsi="Arial" w:cs="Arial"/>
          <w:sz w:val="20"/>
          <w:szCs w:val="20"/>
        </w:rPr>
        <w:t>, respectively</w:t>
      </w:r>
      <w:r w:rsidR="00402FB1">
        <w:rPr>
          <w:rFonts w:ascii="Arial" w:hAnsi="Arial" w:cs="Arial"/>
          <w:sz w:val="20"/>
          <w:szCs w:val="20"/>
        </w:rPr>
        <w:t>.</w:t>
      </w:r>
      <w:r w:rsidR="007669D4" w:rsidRPr="00034F56">
        <w:t xml:space="preserve"> </w:t>
      </w:r>
      <w:r w:rsidR="00E5544E" w:rsidRPr="00034F56">
        <w:t>Example 2</w:t>
      </w:r>
      <w:r w:rsidR="001F75D9" w:rsidRPr="00034F56">
        <w:t>-a</w:t>
      </w:r>
      <w:r w:rsidR="00E5544E" w:rsidRPr="00034F56">
        <w:t xml:space="preserve"> and </w:t>
      </w:r>
      <w:r w:rsidR="00402FB1" w:rsidRPr="00034F56">
        <w:t xml:space="preserve">Example </w:t>
      </w:r>
      <w:r w:rsidR="00E5544E" w:rsidRPr="00034F56">
        <w:t>3</w:t>
      </w:r>
      <w:r w:rsidR="001F75D9" w:rsidRPr="00034F56">
        <w:t>-a</w:t>
      </w:r>
      <w:r w:rsidR="00E5544E" w:rsidRPr="00034F56">
        <w:t xml:space="preserve"> illustrate </w:t>
      </w:r>
      <w:r w:rsidR="00EE53B6" w:rsidRPr="00034F56">
        <w:t>the</w:t>
      </w:r>
      <w:r w:rsidR="00E5544E" w:rsidRPr="00034F56">
        <w:t xml:space="preserve"> </w:t>
      </w:r>
      <w:r w:rsidR="006558E3" w:rsidRPr="00034F56">
        <w:t>E</w:t>
      </w:r>
      <w:r w:rsidR="00E41E97" w:rsidRPr="00034F56">
        <w:t xml:space="preserve">xample 2 and Example 3 in the previous figure </w:t>
      </w:r>
      <w:r w:rsidR="00DB54FF" w:rsidRPr="00034F56">
        <w:t xml:space="preserve">when Alt1-a and Alt3-a are used instead. It is </w:t>
      </w:r>
      <w:r w:rsidR="00B13465" w:rsidRPr="00034F56">
        <w:t>illustrated that the</w:t>
      </w:r>
      <w:r w:rsidR="00EE53B6" w:rsidRPr="00034F56">
        <w:t xml:space="preserve"> </w:t>
      </w:r>
      <w:r w:rsidR="00E5544E" w:rsidRPr="00034F56">
        <w:t xml:space="preserve">PUCCH </w:t>
      </w:r>
      <w:r w:rsidR="00B13465" w:rsidRPr="00034F56">
        <w:t>dropping is eli</w:t>
      </w:r>
      <w:r w:rsidR="009C2F31" w:rsidRPr="00034F56">
        <w:t>minated</w:t>
      </w:r>
      <w:r w:rsidR="00E5544E" w:rsidRPr="00034F56">
        <w:t xml:space="preserve"> with Alt3</w:t>
      </w:r>
      <w:r w:rsidR="00F53419" w:rsidRPr="00034F56">
        <w:t>-a</w:t>
      </w:r>
      <w:r w:rsidR="00E5544E" w:rsidRPr="00034F56">
        <w:t xml:space="preserve"> </w:t>
      </w:r>
      <w:r w:rsidR="00C742DA" w:rsidRPr="00034F56">
        <w:t xml:space="preserve">providing </w:t>
      </w:r>
      <w:r w:rsidR="00E16D10" w:rsidRPr="00034F56">
        <w:t>lower latency as compared to Alt1-a</w:t>
      </w:r>
      <w:r w:rsidR="00E5544E" w:rsidRPr="00034F56">
        <w:t>.</w:t>
      </w:r>
      <w:r w:rsidRPr="00034F56">
        <w:t xml:space="preserve"> </w:t>
      </w:r>
      <w:r w:rsidR="00AD24BC" w:rsidRPr="00034F56">
        <w:t xml:space="preserve"> Note that PUCCH(AN1) refers to the PUCCH carrying HARQ-ACK for DL SPS PDSCH1 and PUCCH(AN1&amp;2) refers to the PUCCH carrying HARQ-ACK for DL SPS PDSCH1 and HARQ-ACK for DL SPS PDSCH2, etc.</w:t>
      </w:r>
    </w:p>
    <w:p w14:paraId="5B174C13" w14:textId="77777777" w:rsidR="002D2865" w:rsidRPr="007F78BE" w:rsidRDefault="002D2865" w:rsidP="00442BFD">
      <w:pPr>
        <w:pStyle w:val="BodyText"/>
        <w:rPr>
          <w:sz w:val="20"/>
          <w:szCs w:val="20"/>
        </w:rPr>
      </w:pPr>
    </w:p>
    <w:p w14:paraId="31882461" w14:textId="7336A27B" w:rsidR="00B25577" w:rsidRDefault="00B25577" w:rsidP="00B25577">
      <w:pPr>
        <w:pStyle w:val="Heading3"/>
      </w:pPr>
      <w:r w:rsidRPr="00BE2946">
        <w:t>2.</w:t>
      </w:r>
      <w:r>
        <w:t>1</w:t>
      </w:r>
      <w:r w:rsidRPr="00BE2946">
        <w:t>.</w:t>
      </w:r>
      <w:r>
        <w:t>2</w:t>
      </w:r>
      <w:r w:rsidRPr="00BE2946">
        <w:tab/>
      </w:r>
      <w:r>
        <w:t>Interaction with dynamic PUCCH cell switching</w:t>
      </w:r>
    </w:p>
    <w:p w14:paraId="09A8ADE7" w14:textId="35646E28" w:rsidR="001031CE" w:rsidRPr="00034F56" w:rsidRDefault="001031CE" w:rsidP="001031CE">
      <w:pPr>
        <w:rPr>
          <w:rFonts w:ascii="Arial" w:hAnsi="Arial" w:cs="Arial"/>
          <w:sz w:val="20"/>
          <w:szCs w:val="20"/>
          <w:lang w:eastAsia="ja-JP"/>
        </w:rPr>
      </w:pPr>
      <w:r w:rsidRPr="00034F56">
        <w:rPr>
          <w:rFonts w:ascii="Arial" w:hAnsi="Arial" w:cs="Arial"/>
          <w:sz w:val="20"/>
          <w:szCs w:val="20"/>
          <w:lang w:eastAsia="ja-JP"/>
        </w:rPr>
        <w:t xml:space="preserve">For dynamic PUCCH cell switching, the PUCCH cell indicator can be included in the activation DCI activating an SPS configuration. It </w:t>
      </w:r>
      <w:r w:rsidR="006F2112" w:rsidRPr="00034F56">
        <w:rPr>
          <w:rFonts w:ascii="Arial" w:hAnsi="Arial" w:cs="Arial"/>
          <w:sz w:val="20"/>
          <w:szCs w:val="20"/>
          <w:lang w:eastAsia="ja-JP"/>
        </w:rPr>
        <w:t>is</w:t>
      </w:r>
      <w:r w:rsidRPr="00034F56">
        <w:rPr>
          <w:rFonts w:ascii="Arial" w:hAnsi="Arial" w:cs="Arial"/>
          <w:sz w:val="20"/>
          <w:szCs w:val="20"/>
          <w:lang w:eastAsia="ja-JP"/>
        </w:rPr>
        <w:t xml:space="preserve"> used to indicate the PUCCH cell to use for SPS HARQ-ACK of the SPS PDSCH</w:t>
      </w:r>
      <w:r w:rsidR="006F2112" w:rsidRPr="00034F56">
        <w:rPr>
          <w:rFonts w:ascii="Arial" w:hAnsi="Arial" w:cs="Arial"/>
          <w:sz w:val="20"/>
          <w:szCs w:val="20"/>
          <w:lang w:eastAsia="ja-JP"/>
        </w:rPr>
        <w:t>s</w:t>
      </w:r>
      <w:r w:rsidRPr="00034F56">
        <w:rPr>
          <w:rFonts w:ascii="Arial" w:hAnsi="Arial" w:cs="Arial"/>
          <w:sz w:val="20"/>
          <w:szCs w:val="20"/>
          <w:lang w:eastAsia="ja-JP"/>
        </w:rPr>
        <w:t xml:space="preserve">. If SPS HARQ-ACK deferral is enabled for the SPS configuration, then the deferral can be applied </w:t>
      </w:r>
      <w:r w:rsidR="006F2112" w:rsidRPr="00034F56">
        <w:rPr>
          <w:rFonts w:ascii="Arial" w:hAnsi="Arial" w:cs="Arial"/>
          <w:sz w:val="20"/>
          <w:szCs w:val="20"/>
          <w:lang w:eastAsia="ja-JP"/>
        </w:rPr>
        <w:t xml:space="preserve">when needed </w:t>
      </w:r>
      <w:r w:rsidRPr="00034F56">
        <w:rPr>
          <w:rFonts w:ascii="Arial" w:hAnsi="Arial" w:cs="Arial"/>
          <w:sz w:val="20"/>
          <w:szCs w:val="20"/>
          <w:lang w:eastAsia="ja-JP"/>
        </w:rPr>
        <w:t>on the</w:t>
      </w:r>
      <w:r w:rsidR="006F2112" w:rsidRPr="00034F56">
        <w:rPr>
          <w:rFonts w:ascii="Arial" w:hAnsi="Arial" w:cs="Arial"/>
          <w:sz w:val="20"/>
          <w:szCs w:val="20"/>
          <w:lang w:eastAsia="ja-JP"/>
        </w:rPr>
        <w:t xml:space="preserve"> target/</w:t>
      </w:r>
      <w:r w:rsidRPr="00034F56">
        <w:rPr>
          <w:rFonts w:ascii="Arial" w:hAnsi="Arial" w:cs="Arial"/>
          <w:sz w:val="20"/>
          <w:szCs w:val="20"/>
          <w:lang w:eastAsia="ja-JP"/>
        </w:rPr>
        <w:t>indicated PUCCH cell.</w:t>
      </w:r>
    </w:p>
    <w:p w14:paraId="071F135E" w14:textId="07403286" w:rsidR="001031CE" w:rsidRPr="006F2112" w:rsidRDefault="006F2112" w:rsidP="001031CE">
      <w:pPr>
        <w:pStyle w:val="Proposal"/>
        <w:tabs>
          <w:tab w:val="num" w:pos="1304"/>
        </w:tabs>
        <w:ind w:left="1304" w:hanging="1304"/>
        <w:rPr>
          <w:sz w:val="20"/>
          <w:szCs w:val="20"/>
        </w:rPr>
      </w:pPr>
      <w:bookmarkStart w:id="42" w:name="_Toc90912985"/>
      <w:r>
        <w:rPr>
          <w:rFonts w:cs="Arial"/>
          <w:sz w:val="20"/>
          <w:szCs w:val="20"/>
          <w:lang w:eastAsia="ja-JP"/>
        </w:rPr>
        <w:t xml:space="preserve">For PUCCH cell switching based on dynamic indication in the SPS activation DCI, the PUCCH cell indicator indicates </w:t>
      </w:r>
      <w:r w:rsidRPr="00034F56">
        <w:rPr>
          <w:rFonts w:cs="Arial"/>
          <w:sz w:val="20"/>
          <w:szCs w:val="20"/>
          <w:lang w:eastAsia="ja-JP"/>
        </w:rPr>
        <w:t>a PUCCH cell to use for SPS HARQ-ACK of the SPS PDSCHs</w:t>
      </w:r>
      <w:r w:rsidR="001031CE" w:rsidRPr="007F78BE">
        <w:rPr>
          <w:rFonts w:cs="Arial"/>
          <w:sz w:val="20"/>
          <w:szCs w:val="20"/>
          <w:lang w:eastAsia="ja-JP"/>
        </w:rPr>
        <w:t>.</w:t>
      </w:r>
      <w:bookmarkEnd w:id="42"/>
    </w:p>
    <w:p w14:paraId="744795A8" w14:textId="56C5DA41" w:rsidR="00B25577" w:rsidRPr="006F2112" w:rsidRDefault="006F2112" w:rsidP="00442BFD">
      <w:pPr>
        <w:pStyle w:val="Proposal"/>
        <w:tabs>
          <w:tab w:val="num" w:pos="1304"/>
        </w:tabs>
        <w:ind w:left="1304" w:hanging="1304"/>
        <w:rPr>
          <w:sz w:val="20"/>
          <w:szCs w:val="20"/>
        </w:rPr>
      </w:pPr>
      <w:bookmarkStart w:id="43" w:name="_Toc90912986"/>
      <w:r w:rsidRPr="007F78BE">
        <w:rPr>
          <w:rFonts w:cs="Arial"/>
          <w:sz w:val="20"/>
          <w:szCs w:val="20"/>
          <w:lang w:eastAsia="ja-JP"/>
        </w:rPr>
        <w:t xml:space="preserve">If </w:t>
      </w:r>
      <w:r w:rsidRPr="00034F56">
        <w:rPr>
          <w:rFonts w:cs="Arial"/>
          <w:sz w:val="20"/>
          <w:szCs w:val="20"/>
          <w:lang w:eastAsia="ja-JP"/>
        </w:rPr>
        <w:t>SPS HARQ-ACK deferral is enabled for the SPS configuration activated with PUCCH cell indicator, the deferral can be applied when needed on the target/indicated PUCCH cell</w:t>
      </w:r>
      <w:r w:rsidRPr="007F78BE">
        <w:rPr>
          <w:rFonts w:cs="Arial"/>
          <w:sz w:val="20"/>
          <w:szCs w:val="20"/>
          <w:lang w:eastAsia="ja-JP"/>
        </w:rPr>
        <w:t>.</w:t>
      </w:r>
      <w:bookmarkEnd w:id="43"/>
    </w:p>
    <w:p w14:paraId="7F52E2D9" w14:textId="77777777" w:rsidR="000B68BE" w:rsidRPr="006F2112" w:rsidRDefault="000B68BE" w:rsidP="000B68BE"/>
    <w:p w14:paraId="4D156704" w14:textId="28BCEB20" w:rsidR="00053D0E" w:rsidRDefault="00053D0E" w:rsidP="00053D0E">
      <w:pPr>
        <w:pStyle w:val="Heading3"/>
      </w:pPr>
      <w:bookmarkStart w:id="44" w:name="_Hlk61362087"/>
      <w:r w:rsidRPr="00BE2946">
        <w:t>2.</w:t>
      </w:r>
      <w:r>
        <w:t>1</w:t>
      </w:r>
      <w:r w:rsidRPr="00BE2946">
        <w:t>.</w:t>
      </w:r>
      <w:r>
        <w:t>3</w:t>
      </w:r>
      <w:r w:rsidRPr="00BE2946">
        <w:tab/>
      </w:r>
      <w:r>
        <w:t>Interaction with Rel-17 intra-UE multiplexing</w:t>
      </w:r>
    </w:p>
    <w:p w14:paraId="491DD081" w14:textId="77777777" w:rsidR="00053D0E" w:rsidRPr="00034F56" w:rsidRDefault="00053D0E" w:rsidP="00053D0E">
      <w:pPr>
        <w:rPr>
          <w:rFonts w:ascii="Arial" w:hAnsi="Arial" w:cs="Arial"/>
          <w:sz w:val="20"/>
          <w:szCs w:val="20"/>
          <w:lang w:eastAsia="ja-JP"/>
        </w:rPr>
      </w:pPr>
      <w:r w:rsidRPr="00034F56">
        <w:rPr>
          <w:rFonts w:ascii="Arial" w:hAnsi="Arial" w:cs="Arial"/>
          <w:sz w:val="20"/>
          <w:szCs w:val="20"/>
          <w:lang w:eastAsia="ja-JP"/>
        </w:rPr>
        <w:t xml:space="preserve">When both SPS HARQ-ACK deferral and Rel-17 intra UE multiplexing are configured to UE, the same principle of the previous agreement and conclusion based on Rel-16 UCI multiplexing below can be followed. </w:t>
      </w:r>
    </w:p>
    <w:tbl>
      <w:tblPr>
        <w:tblStyle w:val="TableGrid"/>
        <w:tblW w:w="0" w:type="auto"/>
        <w:tblLook w:val="04A0" w:firstRow="1" w:lastRow="0" w:firstColumn="1" w:lastColumn="0" w:noHBand="0" w:noVBand="1"/>
      </w:tblPr>
      <w:tblGrid>
        <w:gridCol w:w="9629"/>
      </w:tblGrid>
      <w:tr w:rsidR="00053D0E" w:rsidRPr="00034F56" w14:paraId="096C2B09" w14:textId="77777777" w:rsidTr="00AD24BC">
        <w:tc>
          <w:tcPr>
            <w:tcW w:w="9629" w:type="dxa"/>
          </w:tcPr>
          <w:p w14:paraId="17D4CCB7" w14:textId="77777777" w:rsidR="00053D0E" w:rsidRDefault="00053D0E" w:rsidP="00AD24BC">
            <w:pPr>
              <w:spacing w:after="0"/>
              <w:rPr>
                <w:rFonts w:ascii="Times" w:eastAsia="Batang" w:hAnsi="Times" w:cs="Times"/>
                <w:b/>
                <w:bCs/>
                <w:sz w:val="20"/>
                <w:szCs w:val="20"/>
                <w:lang w:val="en-GB" w:eastAsia="ko-KR"/>
              </w:rPr>
            </w:pPr>
            <w:r w:rsidRPr="007F78BE">
              <w:rPr>
                <w:rFonts w:ascii="Times" w:eastAsia="Batang" w:hAnsi="Times" w:cs="Times"/>
                <w:b/>
                <w:lang w:eastAsia="ko-KR"/>
              </w:rPr>
              <w:t>Conclusion</w:t>
            </w:r>
          </w:p>
          <w:p w14:paraId="59BE58E1" w14:textId="77777777" w:rsidR="00053D0E" w:rsidRPr="007F78BE" w:rsidRDefault="00053D0E" w:rsidP="00AD24BC">
            <w:pPr>
              <w:spacing w:after="0"/>
              <w:rPr>
                <w:rFonts w:ascii="Times" w:eastAsia="Batang" w:hAnsi="Times" w:cs="Times"/>
              </w:rPr>
            </w:pPr>
            <w:r w:rsidRPr="007F78BE">
              <w:rPr>
                <w:rFonts w:ascii="Times" w:eastAsia="Batang" w:hAnsi="Times" w:cs="Times"/>
              </w:rPr>
              <w:t xml:space="preserve">For SPS HARQ-ACK deferral, the operation in the ‘initial’ slot is further clarified as: </w:t>
            </w:r>
          </w:p>
          <w:p w14:paraId="766485C1" w14:textId="77777777" w:rsidR="00053D0E" w:rsidRPr="007F78BE" w:rsidRDefault="00053D0E" w:rsidP="00AD24BC">
            <w:pPr>
              <w:numPr>
                <w:ilvl w:val="0"/>
                <w:numId w:val="52"/>
              </w:numPr>
              <w:spacing w:after="0" w:line="240" w:lineRule="auto"/>
              <w:contextualSpacing/>
              <w:jc w:val="both"/>
              <w:rPr>
                <w:rFonts w:ascii="Times" w:eastAsia="Batang" w:hAnsi="Times" w:cs="Times"/>
              </w:rPr>
            </w:pPr>
            <w:r w:rsidRPr="007F78BE">
              <w:rPr>
                <w:rFonts w:ascii="Times" w:eastAsia="Batang" w:hAnsi="Times" w:cs="Times"/>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tc>
      </w:tr>
    </w:tbl>
    <w:p w14:paraId="15BBBDBB" w14:textId="77777777" w:rsidR="00053D0E" w:rsidRPr="00034F56" w:rsidRDefault="00053D0E" w:rsidP="00053D0E">
      <w:pPr>
        <w:rPr>
          <w:rFonts w:ascii="Arial" w:hAnsi="Arial" w:cs="Arial"/>
          <w:sz w:val="20"/>
          <w:szCs w:val="20"/>
          <w:lang w:eastAsia="ja-JP"/>
        </w:rPr>
      </w:pPr>
    </w:p>
    <w:p w14:paraId="5E6A7105" w14:textId="77777777" w:rsidR="00053D0E" w:rsidRPr="00034F56" w:rsidRDefault="00053D0E" w:rsidP="00053D0E">
      <w:pPr>
        <w:rPr>
          <w:rFonts w:ascii="Arial" w:hAnsi="Arial" w:cs="Arial"/>
          <w:sz w:val="20"/>
          <w:szCs w:val="20"/>
          <w:lang w:eastAsia="ja-JP"/>
        </w:rPr>
      </w:pPr>
      <w:r w:rsidRPr="00034F56">
        <w:rPr>
          <w:rFonts w:ascii="Arial" w:hAnsi="Arial" w:cs="Arial"/>
          <w:sz w:val="20"/>
          <w:szCs w:val="20"/>
          <w:lang w:eastAsia="ja-JP"/>
        </w:rPr>
        <w:lastRenderedPageBreak/>
        <w:t>That is, i</w:t>
      </w:r>
      <w:r w:rsidRPr="007F78BE">
        <w:rPr>
          <w:rFonts w:ascii="Arial" w:hAnsi="Arial" w:cs="Arial"/>
          <w:sz w:val="20"/>
          <w:szCs w:val="20"/>
          <w:lang w:eastAsia="ja-JP"/>
        </w:rPr>
        <w:t xml:space="preserve">f SPS HARQ-ACK can be multiplexed into PUCCH/PUSCH with different priorities in a slot, following the Rel-17 </w:t>
      </w:r>
      <w:r w:rsidRPr="00034F56">
        <w:rPr>
          <w:rFonts w:ascii="Arial" w:hAnsi="Arial" w:cs="Arial"/>
          <w:sz w:val="20"/>
          <w:szCs w:val="20"/>
          <w:lang w:eastAsia="ja-JP"/>
        </w:rPr>
        <w:t>intra UE multiplexing and can be transmitted using a valid resource, then it is performed first, and no deferral is needed.</w:t>
      </w:r>
    </w:p>
    <w:p w14:paraId="347EAE99" w14:textId="77777777" w:rsidR="00053D0E" w:rsidRPr="007F78BE" w:rsidRDefault="00053D0E" w:rsidP="00053D0E">
      <w:pPr>
        <w:numPr>
          <w:ilvl w:val="1"/>
          <w:numId w:val="51"/>
        </w:numPr>
        <w:rPr>
          <w:rFonts w:ascii="Arial" w:hAnsi="Arial" w:cs="Arial"/>
          <w:sz w:val="20"/>
          <w:szCs w:val="20"/>
          <w:lang w:eastAsia="ja-JP"/>
        </w:rPr>
      </w:pPr>
      <w:r w:rsidRPr="007F78BE">
        <w:rPr>
          <w:rFonts w:ascii="Arial" w:hAnsi="Arial" w:cs="Arial"/>
          <w:sz w:val="20"/>
          <w:szCs w:val="20"/>
          <w:lang w:eastAsia="ja-JP"/>
        </w:rPr>
        <w:t>Otherwise, SPS HARQACK of different PHY priorities can be separately deferred with the target PUCCHs separately determined according to their respective PHY priorities. Then depending on where the target slot(s) is/are located, Rel-17 intra UE multiplexing can be applied.</w:t>
      </w:r>
    </w:p>
    <w:p w14:paraId="7AFCFEFE" w14:textId="77777777" w:rsidR="00053D0E" w:rsidRPr="007F78BE" w:rsidRDefault="00053D0E" w:rsidP="00053D0E">
      <w:pPr>
        <w:numPr>
          <w:ilvl w:val="0"/>
          <w:numId w:val="51"/>
        </w:numPr>
        <w:rPr>
          <w:rFonts w:ascii="Arial" w:hAnsi="Arial" w:cs="Arial"/>
          <w:sz w:val="20"/>
          <w:szCs w:val="20"/>
          <w:lang w:eastAsia="ja-JP"/>
        </w:rPr>
      </w:pPr>
      <w:r w:rsidRPr="007F78BE">
        <w:rPr>
          <w:rFonts w:ascii="Arial" w:hAnsi="Arial" w:cs="Arial"/>
          <w:sz w:val="20"/>
          <w:szCs w:val="20"/>
          <w:lang w:eastAsia="ja-JP"/>
        </w:rPr>
        <w:t>Note that in this case, it is not preferred that multiplexing is performed before deferral and then SPS HARQ of different PHY priorities are jointly deferred since LP and HP SPS HARQ-ACK can be from different SPS configurations with different limits on the maximum K1+Kdef.</w:t>
      </w:r>
    </w:p>
    <w:p w14:paraId="68EAF273" w14:textId="77777777" w:rsidR="00053D0E" w:rsidRPr="007F78BE" w:rsidRDefault="00053D0E" w:rsidP="00053D0E">
      <w:pPr>
        <w:pStyle w:val="Proposal"/>
        <w:tabs>
          <w:tab w:val="num" w:pos="1304"/>
        </w:tabs>
        <w:ind w:left="1304" w:hanging="1304"/>
        <w:rPr>
          <w:sz w:val="20"/>
          <w:szCs w:val="20"/>
        </w:rPr>
      </w:pPr>
      <w:bookmarkStart w:id="45" w:name="_Toc90912987"/>
      <w:r w:rsidRPr="007F78BE">
        <w:rPr>
          <w:rFonts w:cs="Arial"/>
          <w:sz w:val="20"/>
          <w:szCs w:val="20"/>
          <w:lang w:eastAsia="ja-JP"/>
        </w:rPr>
        <w:t>If after the Rel-17 multiplexing operation into a PUCCH or PUSCH if any, and if the UE would be transmitting SPS HARQ-ACK using the PUCCH SPS-PUCCH-AN-List-r16 or n1PUCCH-AN which is not valid, the SPS HARQ-ACK configured for deferral is deferred.</w:t>
      </w:r>
      <w:bookmarkEnd w:id="45"/>
    </w:p>
    <w:p w14:paraId="186402D7" w14:textId="0F1FF698" w:rsidR="00053D0E" w:rsidRPr="00C908AA" w:rsidRDefault="00053D0E" w:rsidP="00053D0E">
      <w:pPr>
        <w:pStyle w:val="Proposal"/>
        <w:tabs>
          <w:tab w:val="num" w:pos="1304"/>
        </w:tabs>
        <w:ind w:left="1304" w:hanging="1304"/>
        <w:rPr>
          <w:sz w:val="20"/>
          <w:szCs w:val="20"/>
        </w:rPr>
      </w:pPr>
      <w:bookmarkStart w:id="46" w:name="_Toc90912988"/>
      <w:r w:rsidRPr="007F78BE">
        <w:rPr>
          <w:sz w:val="20"/>
          <w:szCs w:val="20"/>
          <w:lang w:eastAsia="ja-JP"/>
        </w:rPr>
        <w:t>SPS HARQ-ACK of different PHY priorities can be separately deferred with the target PUCCHs separately determined according to their respective PHY priorities. T</w:t>
      </w:r>
      <w:r w:rsidRPr="007F78BE">
        <w:rPr>
          <w:rFonts w:cs="Arial"/>
          <w:sz w:val="20"/>
          <w:szCs w:val="20"/>
          <w:lang w:eastAsia="ja-JP"/>
        </w:rPr>
        <w:t>hen depending on where the target slot(s) is/are located, Rel-17 intra UE multiplexing can be applied when applicable.</w:t>
      </w:r>
      <w:bookmarkEnd w:id="46"/>
    </w:p>
    <w:p w14:paraId="5843DCE4" w14:textId="77777777" w:rsidR="00C908AA" w:rsidRPr="00B25577" w:rsidRDefault="00C908AA" w:rsidP="00C908AA"/>
    <w:p w14:paraId="0D8F6D53" w14:textId="25C0565C" w:rsidR="003A4793" w:rsidRPr="003A4793" w:rsidRDefault="00303AE9" w:rsidP="003A4793">
      <w:pPr>
        <w:pStyle w:val="Heading2"/>
        <w:rPr>
          <w:lang w:val="en-US"/>
        </w:rPr>
      </w:pPr>
      <w:r>
        <w:t>2.</w:t>
      </w:r>
      <w:r w:rsidR="0090038F">
        <w:t>2</w:t>
      </w:r>
      <w:r>
        <w:t xml:space="preserve"> </w:t>
      </w:r>
      <w:r w:rsidR="003A4793" w:rsidRPr="00195B0D">
        <w:t>One-shot triggering of HARQ-ACK retransmission on PUCCH</w:t>
      </w:r>
    </w:p>
    <w:p w14:paraId="620AFC0F" w14:textId="51FB8E06" w:rsidR="003A4793" w:rsidRDefault="003A4793" w:rsidP="003A4793">
      <w:pPr>
        <w:pStyle w:val="Heading3"/>
      </w:pPr>
      <w:r>
        <w:t>2.2.1</w:t>
      </w:r>
      <w:r>
        <w:tab/>
        <w:t xml:space="preserve">Support of </w:t>
      </w:r>
      <w:r w:rsidRPr="003A4793">
        <w:t>triggering before the initial PUCCH transmission slot</w:t>
      </w:r>
    </w:p>
    <w:p w14:paraId="65F07D3B" w14:textId="06762A2D" w:rsidR="00C82A7C" w:rsidRPr="00C82A7C" w:rsidRDefault="00C82A7C" w:rsidP="00C82A7C">
      <w:pPr>
        <w:rPr>
          <w:rFonts w:ascii="Arial" w:hAnsi="Arial" w:cs="Arial"/>
          <w:sz w:val="20"/>
          <w:szCs w:val="20"/>
        </w:rPr>
      </w:pPr>
      <w:r>
        <w:rPr>
          <w:rFonts w:ascii="Arial" w:hAnsi="Arial" w:cs="Arial"/>
          <w:sz w:val="20"/>
          <w:szCs w:val="20"/>
        </w:rPr>
        <w:t>T</w:t>
      </w:r>
      <w:r w:rsidRPr="007F78BE">
        <w:rPr>
          <w:rFonts w:ascii="Arial" w:hAnsi="Arial" w:cs="Arial"/>
          <w:sz w:val="20"/>
          <w:szCs w:val="20"/>
        </w:rPr>
        <w:t>rigger</w:t>
      </w:r>
      <w:r>
        <w:rPr>
          <w:rFonts w:ascii="Arial" w:hAnsi="Arial" w:cs="Arial"/>
          <w:sz w:val="20"/>
          <w:szCs w:val="20"/>
        </w:rPr>
        <w:t>ing</w:t>
      </w:r>
      <w:r w:rsidRPr="007F78BE">
        <w:rPr>
          <w:rFonts w:ascii="Arial" w:hAnsi="Arial" w:cs="Arial"/>
          <w:sz w:val="20"/>
          <w:szCs w:val="20"/>
        </w:rPr>
        <w:t xml:space="preserve"> the HARQ-ACK retransmission before the initial PUCCH slot</w:t>
      </w:r>
      <w:r>
        <w:rPr>
          <w:rFonts w:ascii="Arial" w:hAnsi="Arial" w:cs="Arial"/>
          <w:sz w:val="20"/>
          <w:szCs w:val="20"/>
        </w:rPr>
        <w:t xml:space="preserve"> c</w:t>
      </w:r>
      <w:r w:rsidRPr="007F78BE">
        <w:rPr>
          <w:rFonts w:ascii="Arial" w:hAnsi="Arial" w:cs="Arial"/>
          <w:sz w:val="20"/>
          <w:szCs w:val="20"/>
        </w:rPr>
        <w:t>an be useful in some scenarios</w:t>
      </w:r>
      <w:r w:rsidRPr="00034F56">
        <w:rPr>
          <w:rFonts w:ascii="Arial" w:hAnsi="Arial" w:cs="Arial"/>
          <w:sz w:val="20"/>
          <w:szCs w:val="20"/>
        </w:rPr>
        <w:t>. For example, consider TDD pattern with 2 UL slots: DDDUUDDDUU.</w:t>
      </w:r>
      <w:r w:rsidRPr="007F78BE">
        <w:rPr>
          <w:rFonts w:ascii="Arial" w:hAnsi="Arial" w:cs="Arial"/>
          <w:sz w:val="20"/>
          <w:szCs w:val="20"/>
        </w:rPr>
        <w:t xml:space="preserve"> </w:t>
      </w:r>
      <w:r w:rsidRPr="00034F56">
        <w:rPr>
          <w:rFonts w:ascii="Arial" w:hAnsi="Arial" w:cs="Arial"/>
          <w:sz w:val="20"/>
          <w:szCs w:val="20"/>
        </w:rPr>
        <w:t xml:space="preserve">If in the first UL slot, LP HARQ-ACK dropping due to intra UE prioritization happens, NW can request for a retransmission in the second UL slot by sending the DCI before the first UL slot to reduce latency. </w:t>
      </w:r>
      <w:proofErr w:type="gramStart"/>
      <w:r w:rsidRPr="00034F56">
        <w:rPr>
          <w:rFonts w:ascii="Arial" w:hAnsi="Arial" w:cs="Arial"/>
          <w:sz w:val="20"/>
          <w:szCs w:val="20"/>
        </w:rPr>
        <w:t>As long as</w:t>
      </w:r>
      <w:proofErr w:type="gramEnd"/>
      <w:r w:rsidRPr="00034F56">
        <w:rPr>
          <w:rFonts w:ascii="Arial" w:hAnsi="Arial" w:cs="Arial"/>
          <w:sz w:val="20"/>
          <w:szCs w:val="20"/>
        </w:rPr>
        <w:t xml:space="preserve"> the timelines are met, there should not be any issue. Thus, there should not be any restriction by the specification </w:t>
      </w:r>
      <w:r>
        <w:rPr>
          <w:rFonts w:ascii="Arial" w:hAnsi="Arial" w:cs="Arial"/>
          <w:sz w:val="20"/>
          <w:szCs w:val="20"/>
        </w:rPr>
        <w:t>and t</w:t>
      </w:r>
      <w:r w:rsidRPr="007F78BE">
        <w:rPr>
          <w:rFonts w:ascii="Arial" w:hAnsi="Arial" w:cs="Arial"/>
          <w:sz w:val="20"/>
          <w:szCs w:val="20"/>
        </w:rPr>
        <w:t>rigger</w:t>
      </w:r>
      <w:r>
        <w:rPr>
          <w:rFonts w:ascii="Arial" w:hAnsi="Arial" w:cs="Arial"/>
          <w:sz w:val="20"/>
          <w:szCs w:val="20"/>
        </w:rPr>
        <w:t>ing</w:t>
      </w:r>
      <w:r w:rsidRPr="007F78BE">
        <w:rPr>
          <w:rFonts w:ascii="Arial" w:hAnsi="Arial" w:cs="Arial"/>
          <w:sz w:val="20"/>
          <w:szCs w:val="20"/>
        </w:rPr>
        <w:t xml:space="preserve"> the HARQ-ACK retransmission before the initial PUCCH slot</w:t>
      </w:r>
      <w:r>
        <w:rPr>
          <w:rFonts w:ascii="Arial" w:hAnsi="Arial" w:cs="Arial"/>
          <w:sz w:val="20"/>
          <w:szCs w:val="20"/>
        </w:rPr>
        <w:t xml:space="preserve"> should be allowed</w:t>
      </w:r>
      <w:r w:rsidRPr="00034F56">
        <w:rPr>
          <w:rFonts w:ascii="Arial" w:hAnsi="Arial" w:cs="Arial"/>
          <w:sz w:val="20"/>
          <w:szCs w:val="20"/>
        </w:rPr>
        <w:t>.</w:t>
      </w:r>
    </w:p>
    <w:p w14:paraId="0FA9B3F8" w14:textId="2CA7F5D6" w:rsidR="00C82A7C" w:rsidRPr="00C82A7C" w:rsidRDefault="00C82A7C" w:rsidP="003A4793">
      <w:pPr>
        <w:rPr>
          <w:rFonts w:ascii="Arial" w:hAnsi="Arial" w:cs="Arial"/>
          <w:sz w:val="20"/>
          <w:szCs w:val="20"/>
        </w:rPr>
      </w:pPr>
      <w:r>
        <w:rPr>
          <w:rFonts w:ascii="Arial" w:hAnsi="Arial" w:cs="Arial"/>
          <w:sz w:val="20"/>
          <w:szCs w:val="20"/>
        </w:rPr>
        <w:t>When</w:t>
      </w:r>
      <w:r w:rsidRPr="007F78BE">
        <w:rPr>
          <w:rFonts w:ascii="Arial" w:hAnsi="Arial" w:cs="Arial"/>
          <w:sz w:val="20"/>
          <w:szCs w:val="20"/>
        </w:rPr>
        <w:t xml:space="preserve"> trigger</w:t>
      </w:r>
      <w:r>
        <w:rPr>
          <w:rFonts w:ascii="Arial" w:hAnsi="Arial" w:cs="Arial"/>
          <w:sz w:val="20"/>
          <w:szCs w:val="20"/>
        </w:rPr>
        <w:t>ing</w:t>
      </w:r>
      <w:r w:rsidRPr="007F78BE">
        <w:rPr>
          <w:rFonts w:ascii="Arial" w:hAnsi="Arial" w:cs="Arial"/>
          <w:sz w:val="20"/>
          <w:szCs w:val="20"/>
        </w:rPr>
        <w:t xml:space="preserve"> HARQ-ACK CB retransmission using the one-shot triggering before the initial PUCCH slot of the HARQ-ACK C</w:t>
      </w:r>
      <w:r>
        <w:rPr>
          <w:rFonts w:ascii="Arial" w:hAnsi="Arial" w:cs="Arial"/>
          <w:sz w:val="20"/>
          <w:szCs w:val="20"/>
        </w:rPr>
        <w:t>B</w:t>
      </w:r>
      <w:r w:rsidRPr="007F78BE">
        <w:rPr>
          <w:rFonts w:ascii="Arial" w:hAnsi="Arial" w:cs="Arial"/>
          <w:sz w:val="20"/>
          <w:szCs w:val="20"/>
        </w:rPr>
        <w:t>, it may happen that there is a need to send a later DCI scheduling an urgent PDSCH. The HARQ-ACK of this urgent PDSCH may be multiplexed into one of the HARQ-ACK CBs in the initial slot, changing the dropping scenario. In this case, the triggered HARQ-ACK retransmission should still be performed by UE regardless of the multiplexing and/or dropping scenarios which happen after the triggering was sent. Also, the HARQ-ACK CB in the initial PUCCH slot which is requested for retransmission should still be considered for potential multiplexing or transmission in the initial PUCCH slot.</w:t>
      </w:r>
    </w:p>
    <w:p w14:paraId="3B158461" w14:textId="25CB7D71" w:rsidR="00C82A7C" w:rsidRPr="00034F56" w:rsidRDefault="00C82A7C" w:rsidP="003A4793">
      <w:pPr>
        <w:rPr>
          <w:rFonts w:ascii="Arial" w:hAnsi="Arial" w:cs="Arial"/>
          <w:sz w:val="20"/>
          <w:szCs w:val="20"/>
          <w:lang w:eastAsia="ja-JP"/>
        </w:rPr>
      </w:pPr>
      <w:r w:rsidRPr="00034F56">
        <w:rPr>
          <w:rFonts w:ascii="Arial" w:hAnsi="Arial" w:cs="Arial"/>
          <w:sz w:val="20"/>
          <w:szCs w:val="20"/>
          <w:lang w:eastAsia="ja-JP"/>
        </w:rPr>
        <w:t xml:space="preserve">In RAN1 #107-e, the following working assumption was made. </w:t>
      </w:r>
    </w:p>
    <w:tbl>
      <w:tblPr>
        <w:tblStyle w:val="TableGrid"/>
        <w:tblW w:w="0" w:type="auto"/>
        <w:tblLook w:val="04A0" w:firstRow="1" w:lastRow="0" w:firstColumn="1" w:lastColumn="0" w:noHBand="0" w:noVBand="1"/>
      </w:tblPr>
      <w:tblGrid>
        <w:gridCol w:w="9629"/>
      </w:tblGrid>
      <w:tr w:rsidR="00C82A7C" w:rsidRPr="00034F56" w14:paraId="7E48DB37" w14:textId="77777777" w:rsidTr="00C82A7C">
        <w:tc>
          <w:tcPr>
            <w:tcW w:w="9629" w:type="dxa"/>
          </w:tcPr>
          <w:p w14:paraId="3A19615C" w14:textId="77777777" w:rsidR="00C82A7C" w:rsidRPr="001C001F" w:rsidRDefault="00C82A7C" w:rsidP="00C82A7C">
            <w:pPr>
              <w:spacing w:after="0"/>
              <w:jc w:val="both"/>
              <w:rPr>
                <w:rFonts w:ascii="Times" w:eastAsia="Batang" w:hAnsi="Times"/>
                <w:b/>
                <w:bCs/>
                <w:szCs w:val="24"/>
              </w:rPr>
            </w:pPr>
            <w:r w:rsidRPr="001C001F">
              <w:rPr>
                <w:rFonts w:ascii="Times" w:eastAsia="Batang" w:hAnsi="Times"/>
                <w:b/>
                <w:bCs/>
                <w:color w:val="000000"/>
                <w:szCs w:val="24"/>
                <w:highlight w:val="darkYellow"/>
              </w:rPr>
              <w:t>Working Assumption</w:t>
            </w:r>
            <w:r w:rsidRPr="001C001F">
              <w:rPr>
                <w:rFonts w:ascii="Times" w:eastAsia="Batang" w:hAnsi="Times"/>
                <w:b/>
                <w:bCs/>
                <w:szCs w:val="24"/>
              </w:rPr>
              <w:t xml:space="preserve"> </w:t>
            </w:r>
          </w:p>
          <w:p w14:paraId="7AB8C91B" w14:textId="77777777" w:rsidR="00C82A7C" w:rsidRPr="001C001F" w:rsidRDefault="00C82A7C" w:rsidP="00C82A7C">
            <w:pPr>
              <w:spacing w:after="0"/>
              <w:jc w:val="both"/>
              <w:rPr>
                <w:rFonts w:ascii="Times" w:eastAsia="Batang" w:hAnsi="Times"/>
              </w:rPr>
            </w:pPr>
            <w:r w:rsidRPr="001C001F">
              <w:rPr>
                <w:rFonts w:ascii="Times" w:eastAsia="Batang" w:hAnsi="Times"/>
                <w:bCs/>
                <w:szCs w:val="24"/>
              </w:rPr>
              <w:t>For one-shot triggering of HARQ re-transmission, i</w:t>
            </w:r>
            <w:r w:rsidRPr="006F2112">
              <w:rPr>
                <w:rFonts w:ascii="Times" w:eastAsia="Batang" w:hAnsi="Times"/>
                <w:bCs/>
              </w:rPr>
              <w:t>n addition to one-shot triggering of HARQ re-transmission after the initial PUCCH transmission slot, the triggering is supported before the initial PUCCH transmission slot</w:t>
            </w:r>
          </w:p>
          <w:p w14:paraId="1E0803FA" w14:textId="77777777" w:rsidR="00C82A7C" w:rsidRPr="006F2112" w:rsidRDefault="00C82A7C" w:rsidP="00C82A7C">
            <w:pPr>
              <w:numPr>
                <w:ilvl w:val="0"/>
                <w:numId w:val="72"/>
              </w:numPr>
              <w:spacing w:after="0" w:line="240" w:lineRule="auto"/>
              <w:ind w:left="567"/>
              <w:contextualSpacing/>
              <w:rPr>
                <w:rFonts w:ascii="Times" w:eastAsia="Batang" w:hAnsi="Times"/>
                <w:bCs/>
                <w:lang w:eastAsia="x-none"/>
              </w:rPr>
            </w:pPr>
            <w:r w:rsidRPr="006F2112">
              <w:rPr>
                <w:rFonts w:ascii="Times" w:eastAsia="Batang" w:hAnsi="Times"/>
                <w:bCs/>
                <w:lang w:eastAsia="x-none"/>
              </w:rPr>
              <w:t>Re-transmission triggering does not change processing for the initial PUCCH transmission (i.e., HARQ multiplexing / dropping / transmission)</w:t>
            </w:r>
          </w:p>
          <w:p w14:paraId="348D4857" w14:textId="77777777" w:rsidR="00C82A7C" w:rsidRPr="006F2112" w:rsidRDefault="00C82A7C" w:rsidP="00C82A7C">
            <w:pPr>
              <w:numPr>
                <w:ilvl w:val="0"/>
                <w:numId w:val="72"/>
              </w:numPr>
              <w:spacing w:after="0" w:line="240" w:lineRule="auto"/>
              <w:ind w:left="567"/>
              <w:contextualSpacing/>
              <w:rPr>
                <w:rFonts w:ascii="Times" w:eastAsia="Batang" w:hAnsi="Times"/>
                <w:bCs/>
                <w:lang w:eastAsia="x-none"/>
              </w:rPr>
            </w:pPr>
            <w:r w:rsidRPr="006F2112">
              <w:rPr>
                <w:rFonts w:ascii="Times" w:eastAsia="Batang" w:hAnsi="Times"/>
                <w:bCs/>
                <w:lang w:eastAsia="x-none"/>
              </w:rPr>
              <w:t xml:space="preserve">The UE expects the PUCCH carrying the HARQ-ACK re-transmission to be scheduled in a slot/sub-slot after the initial PUCCH transmission slot/sub-slot. </w:t>
            </w:r>
          </w:p>
          <w:p w14:paraId="74626851" w14:textId="1747E3C6" w:rsidR="00C82A7C" w:rsidRPr="00C82A7C" w:rsidRDefault="00C82A7C" w:rsidP="003A4793">
            <w:pPr>
              <w:numPr>
                <w:ilvl w:val="0"/>
                <w:numId w:val="72"/>
              </w:numPr>
              <w:spacing w:after="0" w:line="240" w:lineRule="auto"/>
              <w:ind w:left="567"/>
              <w:contextualSpacing/>
              <w:rPr>
                <w:rFonts w:ascii="Times" w:eastAsia="Batang" w:hAnsi="Times"/>
                <w:bCs/>
                <w:lang w:eastAsia="x-none"/>
              </w:rPr>
            </w:pPr>
            <w:r w:rsidRPr="006F2112">
              <w:rPr>
                <w:rFonts w:ascii="Times" w:eastAsia="Batang" w:hAnsi="Times"/>
                <w:bCs/>
                <w:lang w:eastAsia="x-none"/>
              </w:rPr>
              <w:t>The support for the triggering before the initial PUCCH transmission slot is subject to separate UE capability indication</w:t>
            </w:r>
          </w:p>
        </w:tc>
      </w:tr>
    </w:tbl>
    <w:p w14:paraId="0A9816C5" w14:textId="77777777" w:rsidR="00C82A7C" w:rsidRPr="00034F56" w:rsidRDefault="00C82A7C" w:rsidP="003A4793">
      <w:pPr>
        <w:rPr>
          <w:rFonts w:ascii="Arial" w:hAnsi="Arial" w:cs="Arial"/>
          <w:sz w:val="20"/>
          <w:szCs w:val="20"/>
          <w:lang w:eastAsia="ja-JP"/>
        </w:rPr>
      </w:pPr>
    </w:p>
    <w:p w14:paraId="45332147" w14:textId="174D7027" w:rsidR="00C82A7C" w:rsidRDefault="00C82A7C" w:rsidP="003A4793">
      <w:pPr>
        <w:rPr>
          <w:rFonts w:ascii="Arial" w:hAnsi="Arial" w:cs="Arial"/>
          <w:sz w:val="20"/>
          <w:szCs w:val="20"/>
          <w:lang w:eastAsia="ja-JP"/>
        </w:rPr>
      </w:pPr>
      <w:r w:rsidRPr="00C82A7C">
        <w:rPr>
          <w:rFonts w:ascii="Arial" w:hAnsi="Arial" w:cs="Arial"/>
          <w:sz w:val="20"/>
          <w:szCs w:val="20"/>
          <w:lang w:eastAsia="ja-JP"/>
        </w:rPr>
        <w:t xml:space="preserve">Therefore, </w:t>
      </w:r>
      <w:r>
        <w:rPr>
          <w:rFonts w:ascii="Arial" w:hAnsi="Arial" w:cs="Arial"/>
          <w:sz w:val="20"/>
          <w:szCs w:val="20"/>
          <w:lang w:eastAsia="ja-JP"/>
        </w:rPr>
        <w:t>we support to confirm the working assumption.</w:t>
      </w:r>
    </w:p>
    <w:p w14:paraId="10D43EDE" w14:textId="308DA144" w:rsidR="00C82A7C" w:rsidRPr="00C82A7C" w:rsidRDefault="00C82A7C" w:rsidP="003A4793">
      <w:pPr>
        <w:pStyle w:val="Proposal"/>
        <w:tabs>
          <w:tab w:val="num" w:pos="1304"/>
        </w:tabs>
        <w:ind w:left="1304" w:hanging="1304"/>
        <w:rPr>
          <w:sz w:val="20"/>
          <w:szCs w:val="20"/>
        </w:rPr>
      </w:pPr>
      <w:bookmarkStart w:id="47" w:name="_Toc90912989"/>
      <w:r>
        <w:rPr>
          <w:rFonts w:cs="Arial"/>
          <w:sz w:val="20"/>
          <w:szCs w:val="20"/>
          <w:lang w:eastAsia="ja-JP"/>
        </w:rPr>
        <w:lastRenderedPageBreak/>
        <w:t xml:space="preserve">Confirm the working assumption made in RAN1 #107-e regarding </w:t>
      </w:r>
      <w:r w:rsidRPr="00C82A7C">
        <w:rPr>
          <w:rFonts w:cs="Arial"/>
          <w:sz w:val="20"/>
          <w:szCs w:val="20"/>
          <w:lang w:eastAsia="ja-JP"/>
        </w:rPr>
        <w:t xml:space="preserve">one-shot triggering of HARQ re-transmission </w:t>
      </w:r>
      <w:r>
        <w:rPr>
          <w:rFonts w:cs="Arial"/>
          <w:sz w:val="20"/>
          <w:szCs w:val="20"/>
          <w:lang w:eastAsia="ja-JP"/>
        </w:rPr>
        <w:t>before</w:t>
      </w:r>
      <w:r w:rsidRPr="00C82A7C">
        <w:rPr>
          <w:rFonts w:cs="Arial"/>
          <w:sz w:val="20"/>
          <w:szCs w:val="20"/>
          <w:lang w:eastAsia="ja-JP"/>
        </w:rPr>
        <w:t xml:space="preserve"> the initial PUCCH transmission slot</w:t>
      </w:r>
      <w:r w:rsidRPr="007F78BE">
        <w:rPr>
          <w:rFonts w:cs="Arial"/>
          <w:sz w:val="20"/>
          <w:szCs w:val="20"/>
          <w:lang w:eastAsia="ja-JP"/>
        </w:rPr>
        <w:t>.</w:t>
      </w:r>
      <w:bookmarkEnd w:id="47"/>
    </w:p>
    <w:p w14:paraId="47B734BF" w14:textId="77777777" w:rsidR="003A4793" w:rsidRPr="00034F56" w:rsidRDefault="003A4793" w:rsidP="003A4793">
      <w:pPr>
        <w:rPr>
          <w:lang w:eastAsia="ja-JP"/>
        </w:rPr>
      </w:pPr>
    </w:p>
    <w:p w14:paraId="30D31CDC" w14:textId="0E22C0C5" w:rsidR="003A4793" w:rsidRDefault="003A4793" w:rsidP="003A4793">
      <w:pPr>
        <w:pStyle w:val="Heading3"/>
      </w:pPr>
      <w:r>
        <w:t>2.2.2</w:t>
      </w:r>
      <w:r>
        <w:tab/>
        <w:t>Value range</w:t>
      </w:r>
      <w:r w:rsidRPr="003A4793">
        <w:t xml:space="preserve"> of the “HARQ-</w:t>
      </w:r>
      <w:proofErr w:type="spellStart"/>
      <w:r w:rsidRPr="003A4793">
        <w:t>rx</w:t>
      </w:r>
      <w:proofErr w:type="spellEnd"/>
      <w:r w:rsidRPr="003A4793">
        <w:t xml:space="preserve"> offset”</w:t>
      </w:r>
      <w:r w:rsidR="003F3FA4">
        <w:t xml:space="preserve"> and DCI field to use for HARQ slot offset indication</w:t>
      </w:r>
    </w:p>
    <w:p w14:paraId="188F7C44" w14:textId="4FDC3C09" w:rsidR="00140701" w:rsidRPr="00034F56" w:rsidRDefault="00C82A7C" w:rsidP="00140701">
      <w:pPr>
        <w:rPr>
          <w:rFonts w:ascii="Arial" w:hAnsi="Arial" w:cs="Arial"/>
          <w:sz w:val="20"/>
          <w:szCs w:val="20"/>
        </w:rPr>
      </w:pPr>
      <w:r w:rsidRPr="007F78BE">
        <w:rPr>
          <w:rFonts w:ascii="Arial" w:hAnsi="Arial" w:cs="Arial"/>
          <w:sz w:val="20"/>
          <w:szCs w:val="20"/>
        </w:rPr>
        <w:t>Regarding the value range of the “</w:t>
      </w:r>
      <w:r w:rsidRPr="00034F56">
        <w:rPr>
          <w:rFonts w:ascii="Arial" w:hAnsi="Arial" w:cs="Arial"/>
          <w:sz w:val="20"/>
          <w:szCs w:val="20"/>
        </w:rPr>
        <w:t>HARQ-</w:t>
      </w:r>
      <w:proofErr w:type="spellStart"/>
      <w:r w:rsidRPr="00034F56">
        <w:rPr>
          <w:rFonts w:ascii="Arial" w:hAnsi="Arial" w:cs="Arial"/>
          <w:sz w:val="20"/>
          <w:szCs w:val="20"/>
        </w:rPr>
        <w:t>rx</w:t>
      </w:r>
      <w:proofErr w:type="spellEnd"/>
      <w:r w:rsidRPr="00034F56">
        <w:rPr>
          <w:rFonts w:ascii="Arial" w:hAnsi="Arial" w:cs="Arial"/>
          <w:sz w:val="20"/>
          <w:szCs w:val="20"/>
        </w:rPr>
        <w:t xml:space="preserve"> offset”, based on our proposal above, it is reasonable that both positive and negative values can be configured, and the range can e.g., be (-1</w:t>
      </w:r>
      <w:r w:rsidR="003F3FA4" w:rsidRPr="00034F56">
        <w:rPr>
          <w:rFonts w:ascii="Arial" w:hAnsi="Arial" w:cs="Arial"/>
          <w:sz w:val="20"/>
          <w:szCs w:val="20"/>
        </w:rPr>
        <w:t>6</w:t>
      </w:r>
      <w:r w:rsidRPr="00034F56">
        <w:rPr>
          <w:rFonts w:ascii="Arial" w:hAnsi="Arial" w:cs="Arial"/>
          <w:sz w:val="20"/>
          <w:szCs w:val="20"/>
        </w:rPr>
        <w:t>...1</w:t>
      </w:r>
      <w:r w:rsidR="003F3FA4" w:rsidRPr="00034F56">
        <w:rPr>
          <w:rFonts w:ascii="Arial" w:hAnsi="Arial" w:cs="Arial"/>
          <w:sz w:val="20"/>
          <w:szCs w:val="20"/>
        </w:rPr>
        <w:t>6</w:t>
      </w:r>
      <w:r w:rsidRPr="00034F56">
        <w:rPr>
          <w:rFonts w:ascii="Arial" w:hAnsi="Arial" w:cs="Arial"/>
          <w:sz w:val="20"/>
          <w:szCs w:val="20"/>
        </w:rPr>
        <w:t>) or (-</w:t>
      </w:r>
      <w:r w:rsidR="003F3FA4" w:rsidRPr="00034F56">
        <w:rPr>
          <w:rFonts w:ascii="Arial" w:hAnsi="Arial" w:cs="Arial"/>
          <w:sz w:val="20"/>
          <w:szCs w:val="20"/>
        </w:rPr>
        <w:t>16</w:t>
      </w:r>
      <w:r w:rsidRPr="00034F56">
        <w:rPr>
          <w:rFonts w:ascii="Arial" w:hAnsi="Arial" w:cs="Arial"/>
          <w:sz w:val="20"/>
          <w:szCs w:val="20"/>
        </w:rPr>
        <w:t>….</w:t>
      </w:r>
      <w:r w:rsidR="003F3FA4" w:rsidRPr="00034F56">
        <w:rPr>
          <w:rFonts w:ascii="Arial" w:hAnsi="Arial" w:cs="Arial"/>
          <w:sz w:val="20"/>
          <w:szCs w:val="20"/>
        </w:rPr>
        <w:t>32</w:t>
      </w:r>
      <w:r w:rsidRPr="00034F56">
        <w:rPr>
          <w:rFonts w:ascii="Arial" w:hAnsi="Arial" w:cs="Arial"/>
          <w:sz w:val="20"/>
          <w:szCs w:val="20"/>
        </w:rPr>
        <w:t xml:space="preserve">). </w:t>
      </w:r>
      <w:r w:rsidR="003F3FA4" w:rsidRPr="00034F56">
        <w:rPr>
          <w:rFonts w:ascii="Arial" w:hAnsi="Arial" w:cs="Arial"/>
          <w:sz w:val="20"/>
          <w:szCs w:val="20"/>
        </w:rPr>
        <w:t xml:space="preserve">Considering that the triggering DCI cannot schedule PDSCH, there might be no need to limit to a subset of values from the possible range. </w:t>
      </w:r>
    </w:p>
    <w:p w14:paraId="77D72DD7" w14:textId="59BCF3C6" w:rsidR="00C82A7C" w:rsidRPr="00034F56" w:rsidRDefault="00140701" w:rsidP="00C82A7C">
      <w:pPr>
        <w:rPr>
          <w:rFonts w:ascii="Arial" w:hAnsi="Arial" w:cs="Arial"/>
          <w:sz w:val="20"/>
          <w:szCs w:val="20"/>
        </w:rPr>
      </w:pPr>
      <w:r w:rsidRPr="00034F56">
        <w:rPr>
          <w:rFonts w:ascii="Arial" w:hAnsi="Arial" w:cs="Arial"/>
          <w:sz w:val="20"/>
          <w:szCs w:val="20"/>
        </w:rPr>
        <w:t xml:space="preserve">Depending on the agreed range, some fixed-size DCI filed such as </w:t>
      </w:r>
      <w:r w:rsidR="00C82A7C" w:rsidRPr="00034F56">
        <w:rPr>
          <w:rFonts w:ascii="Arial" w:hAnsi="Arial" w:cs="Arial"/>
          <w:sz w:val="20"/>
          <w:szCs w:val="20"/>
        </w:rPr>
        <w:t xml:space="preserve">a </w:t>
      </w:r>
      <w:r w:rsidRPr="00034F56">
        <w:rPr>
          <w:rFonts w:ascii="Arial" w:hAnsi="Arial" w:cs="Arial"/>
          <w:sz w:val="20"/>
          <w:szCs w:val="20"/>
        </w:rPr>
        <w:t xml:space="preserve">5-bit “MCS </w:t>
      </w:r>
      <w:r w:rsidR="00C82A7C" w:rsidRPr="00034F56">
        <w:rPr>
          <w:rFonts w:ascii="Arial" w:hAnsi="Arial" w:cs="Arial"/>
          <w:sz w:val="20"/>
          <w:szCs w:val="20"/>
        </w:rPr>
        <w:t>field</w:t>
      </w:r>
      <w:r w:rsidRPr="00034F56">
        <w:rPr>
          <w:rFonts w:ascii="Arial" w:hAnsi="Arial" w:cs="Arial"/>
          <w:sz w:val="20"/>
          <w:szCs w:val="20"/>
        </w:rPr>
        <w:t>”</w:t>
      </w:r>
      <w:r w:rsidR="00C82A7C" w:rsidRPr="00034F56">
        <w:rPr>
          <w:rFonts w:ascii="Arial" w:hAnsi="Arial" w:cs="Arial"/>
          <w:sz w:val="20"/>
          <w:szCs w:val="20"/>
        </w:rPr>
        <w:t xml:space="preserve"> can</w:t>
      </w:r>
      <w:r w:rsidRPr="00034F56">
        <w:rPr>
          <w:rFonts w:ascii="Arial" w:hAnsi="Arial" w:cs="Arial"/>
          <w:sz w:val="20"/>
          <w:szCs w:val="20"/>
        </w:rPr>
        <w:t xml:space="preserve"> e.g.,</w:t>
      </w:r>
      <w:r w:rsidR="00C82A7C" w:rsidRPr="00034F56">
        <w:rPr>
          <w:rFonts w:ascii="Arial" w:hAnsi="Arial" w:cs="Arial"/>
          <w:sz w:val="20"/>
          <w:szCs w:val="20"/>
        </w:rPr>
        <w:t xml:space="preserve"> be used to indicate </w:t>
      </w:r>
      <w:r w:rsidRPr="00034F56">
        <w:rPr>
          <w:rFonts w:ascii="Arial" w:hAnsi="Arial" w:cs="Arial"/>
          <w:sz w:val="20"/>
          <w:szCs w:val="20"/>
        </w:rPr>
        <w:t>the</w:t>
      </w:r>
      <w:r w:rsidR="00C82A7C" w:rsidRPr="00034F56">
        <w:rPr>
          <w:rFonts w:ascii="Arial" w:hAnsi="Arial" w:cs="Arial"/>
          <w:sz w:val="20"/>
          <w:szCs w:val="20"/>
        </w:rPr>
        <w:t xml:space="preserve"> </w:t>
      </w:r>
      <w:r w:rsidRPr="00034F56">
        <w:rPr>
          <w:rFonts w:ascii="Arial" w:hAnsi="Arial" w:cs="Arial"/>
          <w:sz w:val="20"/>
          <w:szCs w:val="20"/>
        </w:rPr>
        <w:t xml:space="preserve">HARQ slot offset </w:t>
      </w:r>
      <w:r w:rsidR="00C82A7C" w:rsidRPr="00034F56">
        <w:rPr>
          <w:rFonts w:ascii="Arial" w:hAnsi="Arial" w:cs="Arial"/>
          <w:sz w:val="20"/>
          <w:szCs w:val="20"/>
        </w:rPr>
        <w:t>value</w:t>
      </w:r>
      <w:r w:rsidRPr="00034F56">
        <w:rPr>
          <w:rFonts w:ascii="Arial" w:hAnsi="Arial" w:cs="Arial"/>
          <w:sz w:val="20"/>
          <w:szCs w:val="20"/>
        </w:rPr>
        <w:t>.</w:t>
      </w:r>
    </w:p>
    <w:p w14:paraId="2A3B061F" w14:textId="3EB5C76F" w:rsidR="00C82A7C" w:rsidRPr="000B68BE" w:rsidRDefault="00C82A7C" w:rsidP="003A4793">
      <w:pPr>
        <w:pStyle w:val="Proposal"/>
        <w:rPr>
          <w:sz w:val="20"/>
          <w:szCs w:val="20"/>
        </w:rPr>
      </w:pPr>
      <w:bookmarkStart w:id="48" w:name="_Toc90912990"/>
      <w:r w:rsidRPr="007F78BE">
        <w:rPr>
          <w:sz w:val="20"/>
          <w:szCs w:val="20"/>
        </w:rPr>
        <w:t>The value range of the “HARQ-</w:t>
      </w:r>
      <w:proofErr w:type="spellStart"/>
      <w:r w:rsidRPr="007F78BE">
        <w:rPr>
          <w:sz w:val="20"/>
          <w:szCs w:val="20"/>
        </w:rPr>
        <w:t>rx</w:t>
      </w:r>
      <w:proofErr w:type="spellEnd"/>
      <w:r w:rsidRPr="007F78BE">
        <w:rPr>
          <w:sz w:val="20"/>
          <w:szCs w:val="20"/>
        </w:rPr>
        <w:t xml:space="preserve"> offset” can contain both positive and negative integers, e.g., </w:t>
      </w:r>
      <w:r w:rsidR="00140701" w:rsidRPr="00034F56">
        <w:rPr>
          <w:rFonts w:cs="Arial"/>
          <w:sz w:val="20"/>
          <w:szCs w:val="20"/>
        </w:rPr>
        <w:t>(-16...16) or (-16….32)</w:t>
      </w:r>
      <w:r w:rsidRPr="00034F56">
        <w:rPr>
          <w:rFonts w:cs="Arial"/>
          <w:sz w:val="20"/>
          <w:szCs w:val="20"/>
        </w:rPr>
        <w:t>.</w:t>
      </w:r>
      <w:r w:rsidR="00140701" w:rsidRPr="00034F56">
        <w:rPr>
          <w:rFonts w:cs="Arial"/>
          <w:sz w:val="20"/>
          <w:szCs w:val="20"/>
        </w:rPr>
        <w:t xml:space="preserve"> Depending on the agreed range, some fixed size DCI field can be used for the indication.</w:t>
      </w:r>
      <w:bookmarkEnd w:id="48"/>
    </w:p>
    <w:bookmarkEnd w:id="44"/>
    <w:p w14:paraId="5EB0CBE2" w14:textId="77777777" w:rsidR="00271512" w:rsidRPr="007F78BE" w:rsidRDefault="00271512" w:rsidP="000D1997"/>
    <w:p w14:paraId="1381ED68" w14:textId="2D11AE61" w:rsidR="00A45839" w:rsidRDefault="00A45839" w:rsidP="00A45839">
      <w:pPr>
        <w:pStyle w:val="Heading2"/>
        <w:rPr>
          <w:lang w:val="en-US"/>
        </w:rPr>
      </w:pPr>
      <w:r>
        <w:t>2.</w:t>
      </w:r>
      <w:r w:rsidR="003A4793">
        <w:t>3</w:t>
      </w:r>
      <w:r>
        <w:tab/>
      </w:r>
      <w:r w:rsidRPr="00B81635">
        <w:rPr>
          <w:lang w:val="en-US"/>
        </w:rPr>
        <w:t xml:space="preserve">PUCCH </w:t>
      </w:r>
      <w:r w:rsidR="0073056B">
        <w:rPr>
          <w:lang w:val="en-US"/>
        </w:rPr>
        <w:t>cell</w:t>
      </w:r>
      <w:r w:rsidRPr="00B81635">
        <w:rPr>
          <w:lang w:val="en-US"/>
        </w:rPr>
        <w:t xml:space="preserve"> switching </w:t>
      </w:r>
    </w:p>
    <w:p w14:paraId="0CD4BF76" w14:textId="43E9C758" w:rsidR="0073056B" w:rsidRDefault="0073056B" w:rsidP="0073056B">
      <w:pPr>
        <w:pStyle w:val="Heading3"/>
      </w:pPr>
      <w:r>
        <w:t>2.</w:t>
      </w:r>
      <w:r w:rsidR="0090614B">
        <w:t>3</w:t>
      </w:r>
      <w:r>
        <w:t>.</w:t>
      </w:r>
      <w:r w:rsidR="0090614B">
        <w:t>1</w:t>
      </w:r>
      <w:r>
        <w:tab/>
        <w:t>Type-1 HARQ-ACK codebook generation for PUCCH cell switching</w:t>
      </w:r>
    </w:p>
    <w:p w14:paraId="13A9758D" w14:textId="15A2C3D5" w:rsidR="00C66C9E" w:rsidRPr="00C66C9E" w:rsidRDefault="00C66C9E" w:rsidP="00C66C9E">
      <w:pPr>
        <w:widowControl w:val="0"/>
        <w:spacing w:line="256" w:lineRule="auto"/>
        <w:jc w:val="both"/>
        <w:rPr>
          <w:rFonts w:ascii="Arial" w:hAnsi="Arial" w:cs="Arial"/>
          <w:sz w:val="20"/>
          <w:szCs w:val="20"/>
        </w:rPr>
      </w:pPr>
      <w:r w:rsidRPr="00C66C9E">
        <w:rPr>
          <w:rFonts w:ascii="Arial" w:hAnsi="Arial" w:cs="Arial"/>
          <w:sz w:val="20"/>
          <w:szCs w:val="20"/>
        </w:rPr>
        <w:t xml:space="preserve">For PUCCH transmission on </w:t>
      </w:r>
      <w:proofErr w:type="spellStart"/>
      <w:r w:rsidRPr="00C66C9E">
        <w:rPr>
          <w:rFonts w:ascii="Arial" w:hAnsi="Arial" w:cs="Arial"/>
          <w:sz w:val="20"/>
          <w:szCs w:val="20"/>
        </w:rPr>
        <w:t>PCell</w:t>
      </w:r>
      <w:proofErr w:type="spellEnd"/>
      <w:r w:rsidRPr="00C66C9E">
        <w:rPr>
          <w:rFonts w:ascii="Arial" w:hAnsi="Arial" w:cs="Arial"/>
          <w:sz w:val="20"/>
          <w:szCs w:val="20"/>
        </w:rPr>
        <w:t xml:space="preserve">, the </w:t>
      </w:r>
      <w:r>
        <w:rPr>
          <w:rFonts w:ascii="Arial" w:hAnsi="Arial" w:cs="Arial"/>
          <w:sz w:val="20"/>
          <w:szCs w:val="20"/>
        </w:rPr>
        <w:t xml:space="preserve">Type-1 </w:t>
      </w:r>
      <w:r w:rsidRPr="00C66C9E">
        <w:rPr>
          <w:rFonts w:ascii="Arial" w:hAnsi="Arial" w:cs="Arial"/>
          <w:sz w:val="20"/>
          <w:szCs w:val="20"/>
        </w:rPr>
        <w:t xml:space="preserve">HARQ-ACK CB </w:t>
      </w:r>
      <w:r>
        <w:rPr>
          <w:rFonts w:ascii="Arial" w:hAnsi="Arial" w:cs="Arial"/>
          <w:sz w:val="20"/>
          <w:szCs w:val="20"/>
        </w:rPr>
        <w:t>generation</w:t>
      </w:r>
      <w:r w:rsidRPr="00C66C9E">
        <w:rPr>
          <w:rFonts w:ascii="Arial" w:hAnsi="Arial" w:cs="Arial"/>
          <w:sz w:val="20"/>
          <w:szCs w:val="20"/>
        </w:rPr>
        <w:t xml:space="preserve"> for a serving cell is based on legacy procedure. For the PUCCH transmission on an</w:t>
      </w:r>
      <w:r>
        <w:rPr>
          <w:rFonts w:ascii="Arial" w:hAnsi="Arial" w:cs="Arial"/>
          <w:sz w:val="20"/>
          <w:szCs w:val="20"/>
        </w:rPr>
        <w:t xml:space="preserve"> alternative</w:t>
      </w:r>
      <w:r w:rsidRPr="00C66C9E">
        <w:rPr>
          <w:rFonts w:ascii="Arial" w:hAnsi="Arial" w:cs="Arial"/>
          <w:sz w:val="20"/>
          <w:szCs w:val="20"/>
        </w:rPr>
        <w:t xml:space="preserve"> </w:t>
      </w:r>
      <w:proofErr w:type="spellStart"/>
      <w:r w:rsidRPr="00C66C9E">
        <w:rPr>
          <w:rFonts w:ascii="Arial" w:hAnsi="Arial" w:cs="Arial"/>
          <w:sz w:val="20"/>
          <w:szCs w:val="20"/>
        </w:rPr>
        <w:t>SCell</w:t>
      </w:r>
      <w:proofErr w:type="spellEnd"/>
      <w:r>
        <w:rPr>
          <w:rFonts w:ascii="Arial" w:hAnsi="Arial" w:cs="Arial"/>
          <w:sz w:val="20"/>
          <w:szCs w:val="20"/>
        </w:rPr>
        <w:t xml:space="preserve"> applicable for PUCCH cell switching</w:t>
      </w:r>
      <w:r w:rsidRPr="00C66C9E">
        <w:rPr>
          <w:rFonts w:ascii="Arial" w:hAnsi="Arial" w:cs="Arial"/>
          <w:sz w:val="20"/>
          <w:szCs w:val="20"/>
        </w:rPr>
        <w:t>,</w:t>
      </w:r>
      <w:r>
        <w:rPr>
          <w:rFonts w:ascii="Arial" w:hAnsi="Arial" w:cs="Arial"/>
          <w:sz w:val="20"/>
          <w:szCs w:val="20"/>
        </w:rPr>
        <w:t xml:space="preserve"> the legacy procedure can be reused with clarification on the </w:t>
      </w:r>
      <w:r w:rsidRPr="00C66C9E">
        <w:rPr>
          <w:rFonts w:ascii="Arial" w:hAnsi="Arial" w:cs="Arial"/>
          <w:sz w:val="20"/>
          <w:szCs w:val="20"/>
        </w:rPr>
        <w:t>reference of K1 set</w:t>
      </w:r>
      <w:r>
        <w:rPr>
          <w:rFonts w:ascii="Arial" w:hAnsi="Arial" w:cs="Arial"/>
          <w:sz w:val="20"/>
          <w:szCs w:val="20"/>
        </w:rPr>
        <w:t>. That is,</w:t>
      </w:r>
    </w:p>
    <w:p w14:paraId="670F4FC7" w14:textId="6111D1DE" w:rsidR="00C66C9E" w:rsidRPr="00C66C9E" w:rsidRDefault="00C66C9E" w:rsidP="00C66C9E">
      <w:pPr>
        <w:pStyle w:val="ListParagraph"/>
        <w:widowControl w:val="0"/>
        <w:numPr>
          <w:ilvl w:val="1"/>
          <w:numId w:val="71"/>
        </w:numPr>
        <w:spacing w:line="256" w:lineRule="auto"/>
        <w:jc w:val="both"/>
        <w:rPr>
          <w:rFonts w:ascii="Arial" w:hAnsi="Arial" w:cs="Arial"/>
          <w:sz w:val="20"/>
          <w:szCs w:val="20"/>
        </w:rPr>
      </w:pPr>
      <w:r w:rsidRPr="00C66C9E">
        <w:rPr>
          <w:rFonts w:ascii="Arial" w:hAnsi="Arial" w:cs="Arial"/>
          <w:sz w:val="20"/>
          <w:szCs w:val="20"/>
          <w:lang w:val="en-US"/>
        </w:rPr>
        <w:t xml:space="preserve">For </w:t>
      </w:r>
      <w:r>
        <w:rPr>
          <w:rFonts w:ascii="Arial" w:hAnsi="Arial" w:cs="Arial"/>
          <w:sz w:val="20"/>
          <w:szCs w:val="20"/>
          <w:lang w:val="en-US"/>
        </w:rPr>
        <w:t xml:space="preserve">PUCCH cell </w:t>
      </w:r>
      <w:r w:rsidRPr="00C66C9E">
        <w:rPr>
          <w:rFonts w:ascii="Arial" w:hAnsi="Arial" w:cs="Arial"/>
          <w:sz w:val="20"/>
          <w:szCs w:val="20"/>
          <w:lang w:val="en-US"/>
        </w:rPr>
        <w:t>switching</w:t>
      </w:r>
      <w:r>
        <w:rPr>
          <w:rFonts w:ascii="Arial" w:hAnsi="Arial" w:cs="Arial"/>
          <w:sz w:val="20"/>
          <w:szCs w:val="20"/>
          <w:lang w:val="en-US"/>
        </w:rPr>
        <w:t xml:space="preserve"> based on dynamic indication</w:t>
      </w:r>
      <w:r w:rsidRPr="00C66C9E">
        <w:rPr>
          <w:rFonts w:ascii="Arial" w:hAnsi="Arial" w:cs="Arial"/>
          <w:sz w:val="20"/>
          <w:szCs w:val="20"/>
          <w:lang w:val="en-US"/>
        </w:rPr>
        <w:t xml:space="preserve">, the HARQ-ACK CB construction for a PUCCH slot of the </w:t>
      </w:r>
      <w:proofErr w:type="spellStart"/>
      <w:r w:rsidRPr="00C66C9E">
        <w:rPr>
          <w:rFonts w:ascii="Arial" w:hAnsi="Arial" w:cs="Arial"/>
          <w:sz w:val="20"/>
          <w:szCs w:val="20"/>
          <w:lang w:val="en-US"/>
        </w:rPr>
        <w:t>SCell</w:t>
      </w:r>
      <w:proofErr w:type="spellEnd"/>
      <w:r w:rsidRPr="00C66C9E">
        <w:rPr>
          <w:rFonts w:ascii="Arial" w:hAnsi="Arial" w:cs="Arial"/>
          <w:sz w:val="20"/>
          <w:szCs w:val="20"/>
          <w:lang w:val="en-US"/>
        </w:rPr>
        <w:t xml:space="preserve"> for each serving cell is based on </w:t>
      </w:r>
      <w:r>
        <w:rPr>
          <w:rFonts w:ascii="Arial" w:hAnsi="Arial" w:cs="Arial"/>
          <w:sz w:val="20"/>
          <w:szCs w:val="20"/>
          <w:lang w:val="en-US"/>
        </w:rPr>
        <w:t xml:space="preserve">the </w:t>
      </w:r>
      <w:r w:rsidRPr="00C66C9E">
        <w:rPr>
          <w:rFonts w:ascii="Arial" w:hAnsi="Arial" w:cs="Arial"/>
          <w:sz w:val="20"/>
          <w:szCs w:val="20"/>
          <w:lang w:val="en-US"/>
        </w:rPr>
        <w:t xml:space="preserve">K1 set </w:t>
      </w:r>
      <w:r>
        <w:rPr>
          <w:rFonts w:ascii="Arial" w:hAnsi="Arial" w:cs="Arial"/>
          <w:sz w:val="20"/>
          <w:szCs w:val="20"/>
          <w:lang w:val="en-US"/>
        </w:rPr>
        <w:t xml:space="preserve">configured for </w:t>
      </w:r>
      <w:r w:rsidRPr="00C66C9E">
        <w:rPr>
          <w:rFonts w:ascii="Arial" w:hAnsi="Arial" w:cs="Arial"/>
          <w:sz w:val="20"/>
          <w:szCs w:val="20"/>
          <w:lang w:val="en-US"/>
        </w:rPr>
        <w:t xml:space="preserve">the </w:t>
      </w:r>
      <w:proofErr w:type="spellStart"/>
      <w:r w:rsidRPr="00C66C9E">
        <w:rPr>
          <w:rFonts w:ascii="Arial" w:hAnsi="Arial" w:cs="Arial"/>
          <w:sz w:val="20"/>
          <w:szCs w:val="20"/>
          <w:lang w:val="en-US"/>
        </w:rPr>
        <w:t>SCell</w:t>
      </w:r>
      <w:proofErr w:type="spellEnd"/>
      <w:r>
        <w:rPr>
          <w:rFonts w:ascii="Arial" w:hAnsi="Arial" w:cs="Arial"/>
          <w:sz w:val="20"/>
          <w:szCs w:val="20"/>
          <w:lang w:val="en-US"/>
        </w:rPr>
        <w:t>.</w:t>
      </w:r>
      <w:r w:rsidRPr="00C66C9E">
        <w:rPr>
          <w:rFonts w:ascii="Arial" w:hAnsi="Arial" w:cs="Arial"/>
          <w:sz w:val="20"/>
          <w:szCs w:val="20"/>
          <w:lang w:val="en-US"/>
        </w:rPr>
        <w:t xml:space="preserve"> </w:t>
      </w:r>
    </w:p>
    <w:p w14:paraId="51746FEA" w14:textId="11D2A4D2" w:rsidR="00C66C9E" w:rsidRPr="00AF66D0" w:rsidRDefault="00C66C9E" w:rsidP="00C66C9E">
      <w:pPr>
        <w:pStyle w:val="ListParagraph"/>
        <w:widowControl w:val="0"/>
        <w:numPr>
          <w:ilvl w:val="1"/>
          <w:numId w:val="71"/>
        </w:numPr>
        <w:spacing w:line="256" w:lineRule="auto"/>
        <w:jc w:val="both"/>
        <w:rPr>
          <w:rFonts w:ascii="Arial" w:hAnsi="Arial" w:cs="Arial"/>
          <w:sz w:val="20"/>
          <w:szCs w:val="20"/>
        </w:rPr>
      </w:pPr>
      <w:r w:rsidRPr="00C66C9E">
        <w:rPr>
          <w:rFonts w:ascii="Arial" w:hAnsi="Arial" w:cs="Arial"/>
          <w:sz w:val="20"/>
          <w:szCs w:val="20"/>
          <w:lang w:val="en-US"/>
        </w:rPr>
        <w:t xml:space="preserve">For </w:t>
      </w:r>
      <w:r>
        <w:rPr>
          <w:rFonts w:ascii="Arial" w:hAnsi="Arial" w:cs="Arial"/>
          <w:sz w:val="20"/>
          <w:szCs w:val="20"/>
          <w:lang w:val="en-US"/>
        </w:rPr>
        <w:t xml:space="preserve">PUCCH cell </w:t>
      </w:r>
      <w:r w:rsidRPr="00C66C9E">
        <w:rPr>
          <w:rFonts w:ascii="Arial" w:hAnsi="Arial" w:cs="Arial"/>
          <w:sz w:val="20"/>
          <w:szCs w:val="20"/>
          <w:lang w:val="en-US"/>
        </w:rPr>
        <w:t>switching</w:t>
      </w:r>
      <w:r>
        <w:rPr>
          <w:rFonts w:ascii="Arial" w:hAnsi="Arial" w:cs="Arial"/>
          <w:sz w:val="20"/>
          <w:szCs w:val="20"/>
          <w:lang w:val="en-US"/>
        </w:rPr>
        <w:t xml:space="preserve"> based on </w:t>
      </w:r>
      <w:r w:rsidRPr="00C66C9E">
        <w:rPr>
          <w:rFonts w:ascii="Arial" w:hAnsi="Arial" w:cs="Arial"/>
          <w:sz w:val="20"/>
          <w:szCs w:val="20"/>
        </w:rPr>
        <w:t>semi-static</w:t>
      </w:r>
      <w:r w:rsidRPr="00C66C9E">
        <w:rPr>
          <w:rFonts w:ascii="Arial" w:hAnsi="Arial" w:cs="Arial"/>
          <w:sz w:val="20"/>
          <w:szCs w:val="20"/>
          <w:lang w:val="en-US"/>
        </w:rPr>
        <w:t xml:space="preserve"> </w:t>
      </w:r>
      <w:r>
        <w:rPr>
          <w:rFonts w:ascii="Arial" w:hAnsi="Arial" w:cs="Arial"/>
          <w:sz w:val="20"/>
          <w:szCs w:val="20"/>
          <w:lang w:val="en-US"/>
        </w:rPr>
        <w:t>time domain pattern</w:t>
      </w:r>
      <w:r w:rsidRPr="00C66C9E">
        <w:rPr>
          <w:rFonts w:ascii="Arial" w:hAnsi="Arial" w:cs="Arial"/>
          <w:sz w:val="20"/>
          <w:szCs w:val="20"/>
          <w:lang w:val="en-US"/>
        </w:rPr>
        <w:t>,</w:t>
      </w:r>
      <w:r>
        <w:rPr>
          <w:rFonts w:ascii="Arial" w:hAnsi="Arial" w:cs="Arial"/>
          <w:sz w:val="20"/>
          <w:szCs w:val="20"/>
          <w:lang w:val="en-US"/>
        </w:rPr>
        <w:t xml:space="preserve"> </w:t>
      </w:r>
      <w:r w:rsidRPr="00C66C9E">
        <w:rPr>
          <w:rFonts w:ascii="Arial" w:hAnsi="Arial" w:cs="Arial"/>
          <w:sz w:val="20"/>
          <w:szCs w:val="20"/>
          <w:lang w:val="en-US"/>
        </w:rPr>
        <w:t xml:space="preserve">the HARQ-ACK CB construction for a PUCCH slot of the </w:t>
      </w:r>
      <w:proofErr w:type="spellStart"/>
      <w:r w:rsidRPr="00C66C9E">
        <w:rPr>
          <w:rFonts w:ascii="Arial" w:hAnsi="Arial" w:cs="Arial"/>
          <w:sz w:val="20"/>
          <w:szCs w:val="20"/>
          <w:lang w:val="en-US"/>
        </w:rPr>
        <w:t>SCell</w:t>
      </w:r>
      <w:proofErr w:type="spellEnd"/>
      <w:r w:rsidRPr="00C66C9E">
        <w:rPr>
          <w:rFonts w:ascii="Arial" w:hAnsi="Arial" w:cs="Arial"/>
          <w:sz w:val="20"/>
          <w:szCs w:val="20"/>
          <w:lang w:val="en-US"/>
        </w:rPr>
        <w:t xml:space="preserve"> for each serving cell is based on K1 set </w:t>
      </w:r>
      <w:r>
        <w:rPr>
          <w:rFonts w:ascii="Arial" w:hAnsi="Arial" w:cs="Arial"/>
          <w:sz w:val="20"/>
          <w:szCs w:val="20"/>
          <w:lang w:val="en-US"/>
        </w:rPr>
        <w:t>configured for</w:t>
      </w:r>
      <w:r w:rsidRPr="00C66C9E">
        <w:rPr>
          <w:rFonts w:ascii="Arial" w:hAnsi="Arial" w:cs="Arial"/>
          <w:sz w:val="20"/>
          <w:szCs w:val="20"/>
          <w:lang w:val="en-US"/>
        </w:rPr>
        <w:t xml:space="preserve"> </w:t>
      </w:r>
      <w:proofErr w:type="spellStart"/>
      <w:r w:rsidRPr="00C66C9E">
        <w:rPr>
          <w:rFonts w:ascii="Arial" w:hAnsi="Arial" w:cs="Arial"/>
          <w:sz w:val="20"/>
          <w:szCs w:val="20"/>
          <w:lang w:val="en-US"/>
        </w:rPr>
        <w:t>PCell</w:t>
      </w:r>
      <w:proofErr w:type="spellEnd"/>
      <w:r>
        <w:rPr>
          <w:rFonts w:ascii="Arial" w:hAnsi="Arial" w:cs="Arial"/>
          <w:sz w:val="20"/>
          <w:szCs w:val="20"/>
          <w:lang w:val="en-US"/>
        </w:rPr>
        <w:t>.</w:t>
      </w:r>
      <w:r w:rsidRPr="00C66C9E">
        <w:rPr>
          <w:rFonts w:ascii="Arial" w:hAnsi="Arial" w:cs="Arial"/>
          <w:sz w:val="20"/>
          <w:szCs w:val="20"/>
          <w:lang w:val="en-US"/>
        </w:rPr>
        <w:t xml:space="preserve"> </w:t>
      </w:r>
    </w:p>
    <w:p w14:paraId="6D305246" w14:textId="782C360A" w:rsidR="00AF66D0" w:rsidRPr="00AF66D0" w:rsidRDefault="00AF66D0" w:rsidP="00AF66D0">
      <w:pPr>
        <w:widowControl w:val="0"/>
        <w:spacing w:line="256" w:lineRule="auto"/>
        <w:jc w:val="both"/>
        <w:rPr>
          <w:rFonts w:ascii="Arial" w:hAnsi="Arial" w:cs="Arial"/>
          <w:sz w:val="20"/>
          <w:szCs w:val="20"/>
        </w:rPr>
      </w:pPr>
    </w:p>
    <w:p w14:paraId="53221092" w14:textId="0796EBE0" w:rsidR="00AF66D0" w:rsidRPr="00AF66D0" w:rsidRDefault="00AF66D0" w:rsidP="00AF66D0">
      <w:pPr>
        <w:pStyle w:val="Proposal"/>
        <w:rPr>
          <w:sz w:val="20"/>
          <w:szCs w:val="20"/>
        </w:rPr>
      </w:pPr>
      <w:bookmarkStart w:id="49" w:name="_Toc90912991"/>
      <w:r>
        <w:rPr>
          <w:sz w:val="20"/>
          <w:szCs w:val="20"/>
        </w:rPr>
        <w:t xml:space="preserve">For Type-1 HARQ-ACK codebook generation on </w:t>
      </w:r>
      <w:proofErr w:type="spellStart"/>
      <w:r>
        <w:rPr>
          <w:sz w:val="20"/>
          <w:szCs w:val="20"/>
        </w:rPr>
        <w:t>SCell</w:t>
      </w:r>
      <w:proofErr w:type="spellEnd"/>
      <w:r>
        <w:rPr>
          <w:sz w:val="20"/>
          <w:szCs w:val="20"/>
        </w:rPr>
        <w:t xml:space="preserve"> with PUCCH cell switching, the legacy procedure is reused with clarification on the reference for the K1 set, i.e., for dynamic cell switching, it is based on K1 set configured for the </w:t>
      </w:r>
      <w:proofErr w:type="spellStart"/>
      <w:r>
        <w:rPr>
          <w:sz w:val="20"/>
          <w:szCs w:val="20"/>
        </w:rPr>
        <w:t>SCell</w:t>
      </w:r>
      <w:proofErr w:type="spellEnd"/>
      <w:r>
        <w:rPr>
          <w:sz w:val="20"/>
          <w:szCs w:val="20"/>
        </w:rPr>
        <w:t>, while</w:t>
      </w:r>
      <w:r w:rsidRPr="00AF66D0">
        <w:rPr>
          <w:sz w:val="20"/>
          <w:szCs w:val="20"/>
        </w:rPr>
        <w:t xml:space="preserve"> </w:t>
      </w:r>
      <w:r>
        <w:rPr>
          <w:sz w:val="20"/>
          <w:szCs w:val="20"/>
        </w:rPr>
        <w:t xml:space="preserve">for semi-static cell switching, it is based on K1 set configured for </w:t>
      </w:r>
      <w:proofErr w:type="spellStart"/>
      <w:r>
        <w:rPr>
          <w:sz w:val="20"/>
          <w:szCs w:val="20"/>
        </w:rPr>
        <w:t>PCell</w:t>
      </w:r>
      <w:proofErr w:type="spellEnd"/>
      <w:r w:rsidRPr="00034F56">
        <w:rPr>
          <w:rFonts w:cs="Arial"/>
          <w:sz w:val="20"/>
          <w:szCs w:val="20"/>
        </w:rPr>
        <w:t>.</w:t>
      </w:r>
      <w:bookmarkEnd w:id="49"/>
    </w:p>
    <w:p w14:paraId="484B813A" w14:textId="77777777" w:rsidR="0073056B" w:rsidRPr="00C66C9E" w:rsidRDefault="0073056B" w:rsidP="0073056B">
      <w:pPr>
        <w:rPr>
          <w:lang w:val="x-none" w:eastAsia="ja-JP"/>
        </w:rPr>
      </w:pPr>
    </w:p>
    <w:p w14:paraId="4B0EC7D3" w14:textId="36C53FF9" w:rsidR="00A45839" w:rsidRPr="0090614B" w:rsidRDefault="0073056B" w:rsidP="0090614B">
      <w:pPr>
        <w:pStyle w:val="Heading3"/>
      </w:pPr>
      <w:r>
        <w:t>2.</w:t>
      </w:r>
      <w:r w:rsidR="0090614B">
        <w:t>3</w:t>
      </w:r>
      <w:r>
        <w:t>.</w:t>
      </w:r>
      <w:r w:rsidR="0090614B">
        <w:t>2</w:t>
      </w:r>
      <w:r>
        <w:tab/>
        <w:t>PUCCH cell switching between licensed and unlicensed cells</w:t>
      </w:r>
    </w:p>
    <w:p w14:paraId="15A70BF3" w14:textId="34F0BF25" w:rsidR="00AF66D0" w:rsidRPr="00034F56" w:rsidRDefault="00AF66D0" w:rsidP="00A45839">
      <w:pPr>
        <w:rPr>
          <w:rFonts w:ascii="Arial" w:hAnsi="Arial" w:cs="Arial"/>
          <w:sz w:val="20"/>
          <w:szCs w:val="20"/>
        </w:rPr>
      </w:pPr>
      <w:r w:rsidRPr="00034F56">
        <w:rPr>
          <w:rFonts w:ascii="Arial" w:hAnsi="Arial" w:cs="Arial"/>
          <w:sz w:val="20"/>
          <w:szCs w:val="20"/>
        </w:rPr>
        <w:t xml:space="preserve">In RAN1 #107-e, the conclusion below was made regarding possible DCI field size alignment for </w:t>
      </w:r>
      <w:r w:rsidRPr="00AF66D0">
        <w:rPr>
          <w:rFonts w:ascii="Arial" w:eastAsia="Batang" w:hAnsi="Arial" w:cs="Arial"/>
          <w:bCs/>
          <w:sz w:val="20"/>
          <w:szCs w:val="20"/>
        </w:rPr>
        <w:t>PDSCH-to-</w:t>
      </w:r>
      <w:proofErr w:type="spellStart"/>
      <w:r w:rsidRPr="00AF66D0">
        <w:rPr>
          <w:rFonts w:ascii="Arial" w:eastAsia="Batang" w:hAnsi="Arial" w:cs="Arial"/>
          <w:bCs/>
          <w:sz w:val="20"/>
          <w:szCs w:val="20"/>
        </w:rPr>
        <w:t>HARQ_feedback</w:t>
      </w:r>
      <w:proofErr w:type="spellEnd"/>
      <w:r w:rsidRPr="00AF66D0">
        <w:rPr>
          <w:rFonts w:ascii="Arial" w:eastAsia="Batang" w:hAnsi="Arial" w:cs="Arial"/>
          <w:bCs/>
          <w:sz w:val="20"/>
          <w:szCs w:val="20"/>
        </w:rPr>
        <w:t xml:space="preserve"> timing indicator </w:t>
      </w:r>
      <w:r>
        <w:rPr>
          <w:rFonts w:ascii="Arial" w:eastAsia="Batang" w:hAnsi="Arial" w:cs="Arial"/>
          <w:bCs/>
          <w:sz w:val="20"/>
          <w:szCs w:val="20"/>
        </w:rPr>
        <w:t xml:space="preserve">field in </w:t>
      </w:r>
      <w:r w:rsidRPr="00AF66D0">
        <w:rPr>
          <w:rFonts w:ascii="Arial" w:eastAsia="Batang" w:hAnsi="Arial" w:cs="Arial"/>
          <w:bCs/>
          <w:sz w:val="20"/>
          <w:szCs w:val="20"/>
        </w:rPr>
        <w:t xml:space="preserve">DCI format 1_1 and 1_2, and </w:t>
      </w:r>
      <w:r w:rsidRPr="00AF66D0">
        <w:rPr>
          <w:rFonts w:ascii="Arial" w:hAnsi="Arial" w:cs="Arial"/>
          <w:sz w:val="20"/>
          <w:szCs w:val="20"/>
        </w:rPr>
        <w:t>PUCCH resource indicator</w:t>
      </w:r>
      <w:r>
        <w:rPr>
          <w:rFonts w:ascii="Arial" w:hAnsi="Arial" w:cs="Arial"/>
          <w:sz w:val="20"/>
          <w:szCs w:val="20"/>
        </w:rPr>
        <w:t xml:space="preserve"> field in</w:t>
      </w:r>
      <w:r w:rsidRPr="00AF66D0">
        <w:rPr>
          <w:rFonts w:ascii="Arial" w:hAnsi="Arial" w:cs="Arial"/>
          <w:sz w:val="20"/>
          <w:szCs w:val="20"/>
        </w:rPr>
        <w:t xml:space="preserve"> DCI format 1_2</w:t>
      </w:r>
      <w:r>
        <w:rPr>
          <w:rFonts w:ascii="Arial" w:hAnsi="Arial" w:cs="Arial"/>
          <w:sz w:val="20"/>
          <w:szCs w:val="20"/>
        </w:rPr>
        <w:t xml:space="preserve">. This is needed </w:t>
      </w:r>
      <w:r w:rsidRPr="00034F56">
        <w:rPr>
          <w:rFonts w:ascii="Arial" w:hAnsi="Arial" w:cs="Arial"/>
          <w:sz w:val="20"/>
          <w:szCs w:val="20"/>
        </w:rPr>
        <w:t xml:space="preserve">when the K1 sets or PUCCH resource tables are configured with different sizes on the </w:t>
      </w:r>
      <w:proofErr w:type="spellStart"/>
      <w:r w:rsidRPr="00034F56">
        <w:rPr>
          <w:rFonts w:ascii="Arial" w:hAnsi="Arial" w:cs="Arial"/>
          <w:sz w:val="20"/>
          <w:szCs w:val="20"/>
        </w:rPr>
        <w:t>PCell</w:t>
      </w:r>
      <w:proofErr w:type="spellEnd"/>
      <w:r w:rsidRPr="00034F56">
        <w:rPr>
          <w:rFonts w:ascii="Arial" w:hAnsi="Arial" w:cs="Arial"/>
          <w:sz w:val="20"/>
          <w:szCs w:val="20"/>
        </w:rPr>
        <w:t xml:space="preserve"> and alternative </w:t>
      </w:r>
      <w:proofErr w:type="spellStart"/>
      <w:r w:rsidRPr="00034F56">
        <w:rPr>
          <w:rFonts w:ascii="Arial" w:hAnsi="Arial" w:cs="Arial"/>
          <w:sz w:val="20"/>
          <w:szCs w:val="20"/>
        </w:rPr>
        <w:t>SCell</w:t>
      </w:r>
      <w:proofErr w:type="spellEnd"/>
      <w:r w:rsidRPr="00034F56">
        <w:rPr>
          <w:rFonts w:ascii="Arial" w:hAnsi="Arial" w:cs="Arial"/>
          <w:sz w:val="20"/>
          <w:szCs w:val="20"/>
        </w:rPr>
        <w:t xml:space="preserve"> for PUCCH cell switching. </w:t>
      </w:r>
    </w:p>
    <w:tbl>
      <w:tblPr>
        <w:tblStyle w:val="TableGrid"/>
        <w:tblW w:w="0" w:type="auto"/>
        <w:tblLook w:val="04A0" w:firstRow="1" w:lastRow="0" w:firstColumn="1" w:lastColumn="0" w:noHBand="0" w:noVBand="1"/>
      </w:tblPr>
      <w:tblGrid>
        <w:gridCol w:w="9629"/>
      </w:tblGrid>
      <w:tr w:rsidR="00AF66D0" w:rsidRPr="00034F56" w14:paraId="36BFB6B8" w14:textId="77777777" w:rsidTr="00AF66D0">
        <w:tc>
          <w:tcPr>
            <w:tcW w:w="9629" w:type="dxa"/>
          </w:tcPr>
          <w:p w14:paraId="73D1928C" w14:textId="77777777" w:rsidR="00AF66D0" w:rsidRPr="001C001F" w:rsidRDefault="00AF66D0" w:rsidP="00AF66D0">
            <w:pPr>
              <w:spacing w:after="0"/>
              <w:jc w:val="both"/>
              <w:rPr>
                <w:rFonts w:ascii="Times" w:eastAsia="Batang" w:hAnsi="Times" w:cs="Times"/>
                <w:b/>
                <w:bCs/>
              </w:rPr>
            </w:pPr>
            <w:r w:rsidRPr="006F2112">
              <w:rPr>
                <w:rFonts w:ascii="Times" w:eastAsia="Batang" w:hAnsi="Times" w:cs="Times"/>
                <w:b/>
                <w:bCs/>
              </w:rPr>
              <w:t>Conclusion</w:t>
            </w:r>
          </w:p>
          <w:p w14:paraId="49EFFFAB" w14:textId="77777777" w:rsidR="00AF66D0" w:rsidRPr="006F2112" w:rsidRDefault="00AF66D0" w:rsidP="00AF66D0">
            <w:pPr>
              <w:spacing w:after="0"/>
              <w:rPr>
                <w:rFonts w:ascii="Times" w:eastAsia="Batang" w:hAnsi="Times" w:cs="Times"/>
                <w:bCs/>
              </w:rPr>
            </w:pPr>
            <w:r w:rsidRPr="006F2112">
              <w:rPr>
                <w:rFonts w:ascii="Times" w:eastAsia="Batang" w:hAnsi="Times" w:cs="Times"/>
                <w:bCs/>
              </w:rPr>
              <w:t>For PUCCH cell switching DCI field size alignment is done by:</w:t>
            </w:r>
          </w:p>
          <w:p w14:paraId="173011E0" w14:textId="77777777" w:rsidR="00AF66D0" w:rsidRPr="006F2112" w:rsidRDefault="00AF66D0" w:rsidP="00AF66D0">
            <w:pPr>
              <w:numPr>
                <w:ilvl w:val="0"/>
                <w:numId w:val="41"/>
              </w:numPr>
              <w:spacing w:after="0" w:line="240" w:lineRule="auto"/>
              <w:rPr>
                <w:rFonts w:ascii="Times" w:eastAsia="Batang" w:hAnsi="Times" w:cs="Times"/>
                <w:bCs/>
              </w:rPr>
            </w:pPr>
            <w:r w:rsidRPr="006F2112">
              <w:rPr>
                <w:rFonts w:ascii="Times" w:eastAsia="Batang" w:hAnsi="Times" w:cs="Times"/>
                <w:bCs/>
              </w:rPr>
              <w:t>For dynamic PUCCH cell switching, the bit width of the PDSCH-to-</w:t>
            </w:r>
            <w:proofErr w:type="spellStart"/>
            <w:r w:rsidRPr="006F2112">
              <w:rPr>
                <w:rFonts w:ascii="Times" w:eastAsia="Batang" w:hAnsi="Times" w:cs="Times"/>
                <w:bCs/>
              </w:rPr>
              <w:t>HARQ_feedback</w:t>
            </w:r>
            <w:proofErr w:type="spellEnd"/>
            <w:r w:rsidRPr="006F2112">
              <w:rPr>
                <w:rFonts w:ascii="Times" w:eastAsia="Batang" w:hAnsi="Times" w:cs="Times"/>
                <w:bCs/>
              </w:rPr>
              <w:t xml:space="preserve"> timing indicator in DCI format 1_1 and 1_2 is determined by the largest K1 set among the K1 sets of all candidate PUCCH cells for PUCCH cell switching based on dynamic indication</w:t>
            </w:r>
          </w:p>
          <w:p w14:paraId="2A2A6E2E" w14:textId="77777777" w:rsidR="00AF66D0" w:rsidRPr="006F2112" w:rsidRDefault="00AF66D0" w:rsidP="00AF66D0">
            <w:pPr>
              <w:numPr>
                <w:ilvl w:val="1"/>
                <w:numId w:val="75"/>
              </w:numPr>
              <w:spacing w:after="0" w:line="240" w:lineRule="auto"/>
              <w:rPr>
                <w:rFonts w:ascii="Times" w:eastAsia="Batang" w:hAnsi="Times" w:cs="Times"/>
                <w:bCs/>
              </w:rPr>
            </w:pPr>
            <w:r w:rsidRPr="006F2112">
              <w:rPr>
                <w:rFonts w:ascii="Times" w:eastAsia="Batang" w:hAnsi="Times" w:cs="Times"/>
                <w:bCs/>
              </w:rPr>
              <w:t xml:space="preserve">i.e., </w:t>
            </w:r>
            <w:proofErr w:type="gramStart"/>
            <w:r w:rsidRPr="006F2112">
              <w:rPr>
                <w:rFonts w:ascii="Times" w:eastAsia="Batang" w:hAnsi="Times" w:cs="Times"/>
                <w:bCs/>
              </w:rPr>
              <w:t>a number of</w:t>
            </w:r>
            <w:proofErr w:type="gramEnd"/>
            <w:r w:rsidRPr="006F2112">
              <w:rPr>
                <w:rFonts w:ascii="Times" w:eastAsia="Batang" w:hAnsi="Times" w:cs="Times"/>
                <w:bCs/>
              </w:rPr>
              <w:t xml:space="preserve"> most significant bits with value set to '0' are inserted to smaller field until the bit width of the field for all the PUCCH cells are the same</w:t>
            </w:r>
          </w:p>
          <w:p w14:paraId="38D1B034" w14:textId="77777777" w:rsidR="00AF66D0" w:rsidRPr="006F2112" w:rsidRDefault="00AF66D0" w:rsidP="00AF66D0">
            <w:pPr>
              <w:numPr>
                <w:ilvl w:val="1"/>
                <w:numId w:val="75"/>
              </w:numPr>
              <w:spacing w:after="0" w:line="240" w:lineRule="auto"/>
              <w:rPr>
                <w:rFonts w:ascii="Times" w:eastAsia="Batang" w:hAnsi="Times" w:cs="Times"/>
                <w:bCs/>
              </w:rPr>
            </w:pPr>
            <w:r w:rsidRPr="006F2112">
              <w:rPr>
                <w:rFonts w:ascii="Times" w:eastAsia="Batang" w:hAnsi="Times" w:cs="Times"/>
                <w:bCs/>
                <w:i/>
                <w:iCs/>
              </w:rPr>
              <w:lastRenderedPageBreak/>
              <w:t xml:space="preserve">Note: for semi-static PUCCH cell switching only the K1 set of </w:t>
            </w:r>
            <w:proofErr w:type="spellStart"/>
            <w:r w:rsidRPr="006F2112">
              <w:rPr>
                <w:rFonts w:ascii="Times" w:eastAsia="Batang" w:hAnsi="Times" w:cs="Times"/>
                <w:bCs/>
                <w:i/>
                <w:iCs/>
              </w:rPr>
              <w:t>PCell</w:t>
            </w:r>
            <w:proofErr w:type="spellEnd"/>
            <w:r w:rsidRPr="006F2112">
              <w:rPr>
                <w:rFonts w:ascii="Times" w:eastAsia="Batang" w:hAnsi="Times" w:cs="Times"/>
                <w:bCs/>
                <w:i/>
                <w:iCs/>
              </w:rPr>
              <w:t xml:space="preserve"> is needed</w:t>
            </w:r>
          </w:p>
          <w:p w14:paraId="5F619E65" w14:textId="77777777" w:rsidR="00AF66D0" w:rsidRPr="006F2112" w:rsidRDefault="00AF66D0" w:rsidP="00AF66D0">
            <w:pPr>
              <w:numPr>
                <w:ilvl w:val="0"/>
                <w:numId w:val="75"/>
              </w:numPr>
              <w:spacing w:after="0" w:line="240" w:lineRule="auto"/>
              <w:rPr>
                <w:rFonts w:ascii="Times" w:eastAsia="Batang" w:hAnsi="Times" w:cs="Times"/>
                <w:bCs/>
                <w:i/>
                <w:iCs/>
              </w:rPr>
            </w:pPr>
            <w:r w:rsidRPr="006F2112">
              <w:rPr>
                <w:rFonts w:ascii="Times" w:eastAsia="Batang" w:hAnsi="Times" w:cs="Times"/>
                <w:bCs/>
              </w:rPr>
              <w:t xml:space="preserve">For semi-static and dynamic PUCCH cell switching, the bit width of the PRI field in DCI format 1_2 is determined by the largest value of </w:t>
            </w:r>
            <w:r w:rsidRPr="006F2112">
              <w:rPr>
                <w:rFonts w:ascii="Times" w:eastAsia="Batang" w:hAnsi="Times" w:cs="Times"/>
                <w:bCs/>
                <w:i/>
                <w:iCs/>
                <w:lang w:eastAsia="fr-FR"/>
              </w:rPr>
              <w:t>numberOfBitsForPUCCH-ResourceIndicatorDCI-1-2</w:t>
            </w:r>
            <w:r w:rsidRPr="006F2112">
              <w:rPr>
                <w:rFonts w:ascii="Times" w:eastAsia="Batang" w:hAnsi="Times" w:cs="Times"/>
                <w:bCs/>
                <w:lang w:eastAsia="fr-FR"/>
              </w:rPr>
              <w:t xml:space="preserve"> of all PUCCH cells </w:t>
            </w:r>
          </w:p>
          <w:p w14:paraId="3F066AEC" w14:textId="77777777" w:rsidR="00AF66D0" w:rsidRPr="006F2112" w:rsidRDefault="00AF66D0" w:rsidP="00AF66D0">
            <w:pPr>
              <w:numPr>
                <w:ilvl w:val="1"/>
                <w:numId w:val="75"/>
              </w:numPr>
              <w:spacing w:after="0" w:line="240" w:lineRule="auto"/>
              <w:rPr>
                <w:rFonts w:ascii="Times" w:eastAsia="Batang" w:hAnsi="Times" w:cs="Times"/>
                <w:bCs/>
                <w:i/>
                <w:iCs/>
              </w:rPr>
            </w:pPr>
            <w:r w:rsidRPr="006F2112">
              <w:rPr>
                <w:rFonts w:ascii="Times" w:eastAsia="Batang" w:hAnsi="Times" w:cs="Times"/>
                <w:bCs/>
              </w:rPr>
              <w:t xml:space="preserve">i.e., </w:t>
            </w:r>
            <w:proofErr w:type="gramStart"/>
            <w:r w:rsidRPr="006F2112">
              <w:rPr>
                <w:rFonts w:ascii="Times" w:eastAsia="Batang" w:hAnsi="Times" w:cs="Times"/>
                <w:bCs/>
              </w:rPr>
              <w:t>a number of</w:t>
            </w:r>
            <w:proofErr w:type="gramEnd"/>
            <w:r w:rsidRPr="006F2112">
              <w:rPr>
                <w:rFonts w:ascii="Times" w:eastAsia="Batang" w:hAnsi="Times" w:cs="Times"/>
                <w:bCs/>
              </w:rPr>
              <w:t xml:space="preserve"> most significant bits with value set to '0' are inserted to smaller field until the bit width of the field for all the PUCCH cells are the same</w:t>
            </w:r>
          </w:p>
          <w:p w14:paraId="64AC081A" w14:textId="1FAC21B0" w:rsidR="00AF66D0" w:rsidRPr="00AF66D0" w:rsidRDefault="00AF66D0" w:rsidP="00A45839">
            <w:pPr>
              <w:numPr>
                <w:ilvl w:val="0"/>
                <w:numId w:val="75"/>
              </w:numPr>
              <w:spacing w:after="0" w:line="240" w:lineRule="auto"/>
              <w:rPr>
                <w:rFonts w:ascii="Times" w:eastAsia="Batang" w:hAnsi="Times" w:cs="Times"/>
                <w:bCs/>
              </w:rPr>
            </w:pPr>
            <w:r w:rsidRPr="006F2112">
              <w:rPr>
                <w:rFonts w:ascii="Times" w:eastAsia="Batang" w:hAnsi="Times" w:cs="Times"/>
                <w:bCs/>
                <w:highlight w:val="yellow"/>
              </w:rPr>
              <w:t>FFS</w:t>
            </w:r>
            <w:r w:rsidRPr="006F2112">
              <w:rPr>
                <w:rFonts w:ascii="Times" w:eastAsia="Batang" w:hAnsi="Times" w:cs="Times"/>
                <w:bCs/>
              </w:rPr>
              <w:t xml:space="preserve">: If similar handling is applied for </w:t>
            </w:r>
            <w:proofErr w:type="spellStart"/>
            <w:r w:rsidRPr="006F2112">
              <w:rPr>
                <w:rFonts w:ascii="Times" w:eastAsia="Batang" w:hAnsi="Times" w:cs="Times"/>
                <w:bCs/>
                <w:i/>
                <w:iCs/>
              </w:rPr>
              <w:t>ChannelAccess-CPext</w:t>
            </w:r>
            <w:proofErr w:type="spellEnd"/>
            <w:r w:rsidRPr="006F2112">
              <w:rPr>
                <w:rFonts w:ascii="Times" w:eastAsia="Batang" w:hAnsi="Times" w:cs="Times"/>
                <w:bCs/>
              </w:rPr>
              <w:t xml:space="preserve"> DCI field (0 or 2 bit)</w:t>
            </w:r>
          </w:p>
        </w:tc>
      </w:tr>
    </w:tbl>
    <w:p w14:paraId="4C279543" w14:textId="1846DA8F" w:rsidR="00AF66D0" w:rsidRDefault="00AF66D0" w:rsidP="00A45839">
      <w:pPr>
        <w:rPr>
          <w:rFonts w:ascii="Times New Roman" w:hAnsi="Times New Roman" w:cs="Times New Roman"/>
        </w:rPr>
      </w:pPr>
    </w:p>
    <w:p w14:paraId="63985895" w14:textId="08FB1B08" w:rsidR="007A5AAA" w:rsidRDefault="00AF66D0" w:rsidP="00A45839">
      <w:pPr>
        <w:rPr>
          <w:rFonts w:ascii="Arial" w:hAnsi="Arial" w:cs="Arial"/>
          <w:sz w:val="20"/>
          <w:szCs w:val="20"/>
        </w:rPr>
      </w:pPr>
      <w:r w:rsidRPr="00AF66D0">
        <w:rPr>
          <w:rFonts w:ascii="Arial" w:hAnsi="Arial" w:cs="Arial"/>
          <w:sz w:val="20"/>
          <w:szCs w:val="20"/>
        </w:rPr>
        <w:t xml:space="preserve">One open issue is </w:t>
      </w:r>
      <w:r>
        <w:rPr>
          <w:rFonts w:ascii="Arial" w:hAnsi="Arial" w:cs="Arial"/>
          <w:sz w:val="20"/>
          <w:szCs w:val="20"/>
        </w:rPr>
        <w:t xml:space="preserve">on the handling of </w:t>
      </w:r>
      <w:proofErr w:type="spellStart"/>
      <w:r w:rsidRPr="006F2112">
        <w:rPr>
          <w:rFonts w:ascii="Times" w:eastAsia="Batang" w:hAnsi="Times" w:cs="Times"/>
          <w:bCs/>
          <w:i/>
          <w:iCs/>
        </w:rPr>
        <w:t>ChannelAccess-CPext</w:t>
      </w:r>
      <w:proofErr w:type="spellEnd"/>
      <w:r>
        <w:rPr>
          <w:rFonts w:ascii="Arial" w:hAnsi="Arial" w:cs="Arial"/>
          <w:sz w:val="20"/>
          <w:szCs w:val="20"/>
        </w:rPr>
        <w:t xml:space="preserve"> field for </w:t>
      </w:r>
      <w:r w:rsidR="007A5AAA" w:rsidRPr="007A5AAA">
        <w:rPr>
          <w:rFonts w:ascii="Arial" w:hAnsi="Arial" w:cs="Arial"/>
          <w:sz w:val="20"/>
          <w:szCs w:val="20"/>
        </w:rPr>
        <w:t>operation in a cell with shared spectrum channel access</w:t>
      </w:r>
      <w:r>
        <w:rPr>
          <w:rFonts w:ascii="Arial" w:hAnsi="Arial" w:cs="Arial"/>
          <w:sz w:val="20"/>
          <w:szCs w:val="20"/>
        </w:rPr>
        <w:t xml:space="preserve">. </w:t>
      </w:r>
      <w:r w:rsidR="007A5AAA">
        <w:rPr>
          <w:rFonts w:ascii="Arial" w:hAnsi="Arial" w:cs="Arial"/>
          <w:sz w:val="20"/>
          <w:szCs w:val="20"/>
        </w:rPr>
        <w:t>It should be noted that the field is configurable from 0 to 4 bits</w:t>
      </w:r>
      <w:r w:rsidR="00BC734E">
        <w:rPr>
          <w:rFonts w:ascii="Arial" w:hAnsi="Arial" w:cs="Arial"/>
          <w:sz w:val="20"/>
          <w:szCs w:val="20"/>
        </w:rPr>
        <w:t xml:space="preserve"> for </w:t>
      </w:r>
      <w:r w:rsidR="002616DC">
        <w:rPr>
          <w:rFonts w:ascii="Arial" w:hAnsi="Arial" w:cs="Arial"/>
          <w:sz w:val="20"/>
          <w:szCs w:val="20"/>
        </w:rPr>
        <w:t xml:space="preserve">dynamic channel access mode and 2 bits </w:t>
      </w:r>
      <w:r w:rsidR="00165A90">
        <w:rPr>
          <w:rFonts w:ascii="Arial" w:hAnsi="Arial" w:cs="Arial"/>
          <w:sz w:val="20"/>
          <w:szCs w:val="20"/>
        </w:rPr>
        <w:t xml:space="preserve">for </w:t>
      </w:r>
      <w:r w:rsidR="007A5AAA">
        <w:rPr>
          <w:rFonts w:ascii="Arial" w:hAnsi="Arial" w:cs="Arial"/>
          <w:sz w:val="20"/>
          <w:szCs w:val="20"/>
        </w:rPr>
        <w:t>semi-static</w:t>
      </w:r>
      <w:r w:rsidR="00165A90">
        <w:rPr>
          <w:rFonts w:ascii="Arial" w:hAnsi="Arial" w:cs="Arial"/>
          <w:sz w:val="20"/>
          <w:szCs w:val="20"/>
        </w:rPr>
        <w:t xml:space="preserve"> channel access mode</w:t>
      </w:r>
      <w:r w:rsidR="007A5AAA">
        <w:rPr>
          <w:rFonts w:ascii="Arial" w:hAnsi="Arial" w:cs="Arial"/>
          <w:sz w:val="20"/>
          <w:szCs w:val="20"/>
        </w:rPr>
        <w:t xml:space="preserve">. </w:t>
      </w:r>
    </w:p>
    <w:p w14:paraId="713B7165" w14:textId="05A9C938" w:rsidR="00AF66D0" w:rsidRDefault="007A5AAA" w:rsidP="00A45839">
      <w:pPr>
        <w:rPr>
          <w:rFonts w:ascii="Arial" w:hAnsi="Arial" w:cs="Arial"/>
          <w:sz w:val="20"/>
          <w:szCs w:val="20"/>
        </w:rPr>
      </w:pPr>
      <w:r>
        <w:rPr>
          <w:rFonts w:ascii="Arial" w:hAnsi="Arial" w:cs="Arial"/>
          <w:sz w:val="20"/>
          <w:szCs w:val="20"/>
        </w:rPr>
        <w:t>In our view, the PUCCH cell switching between</w:t>
      </w:r>
      <w:r w:rsidRPr="007A5AAA">
        <w:rPr>
          <w:rFonts w:ascii="Arial" w:hAnsi="Arial" w:cs="Arial"/>
          <w:sz w:val="20"/>
          <w:szCs w:val="20"/>
        </w:rPr>
        <w:t xml:space="preserve"> cell with</w:t>
      </w:r>
      <w:r>
        <w:rPr>
          <w:rFonts w:ascii="Arial" w:hAnsi="Arial" w:cs="Arial"/>
          <w:sz w:val="20"/>
          <w:szCs w:val="20"/>
        </w:rPr>
        <w:t xml:space="preserve"> licensed spectrum and cell with</w:t>
      </w:r>
      <w:r w:rsidRPr="007A5AAA">
        <w:rPr>
          <w:rFonts w:ascii="Arial" w:hAnsi="Arial" w:cs="Arial"/>
          <w:sz w:val="20"/>
          <w:szCs w:val="20"/>
        </w:rPr>
        <w:t xml:space="preserve"> shared spectrum channel access</w:t>
      </w:r>
      <w:r>
        <w:rPr>
          <w:rFonts w:ascii="Arial" w:hAnsi="Arial" w:cs="Arial"/>
          <w:sz w:val="20"/>
          <w:szCs w:val="20"/>
        </w:rPr>
        <w:t xml:space="preserve"> (in any mode) should be supported. The same DCI field size alignment handling can be reused by padding ‘0’ bits </w:t>
      </w:r>
      <w:r w:rsidRPr="007A5AAA">
        <w:rPr>
          <w:rFonts w:ascii="Arial" w:hAnsi="Arial" w:cs="Arial"/>
          <w:sz w:val="20"/>
          <w:szCs w:val="20"/>
        </w:rPr>
        <w:t>to smaller field until the bit width of the field for all the PUCCH cells are the same</w:t>
      </w:r>
      <w:r>
        <w:rPr>
          <w:rFonts w:ascii="Arial" w:hAnsi="Arial" w:cs="Arial"/>
          <w:sz w:val="20"/>
          <w:szCs w:val="20"/>
        </w:rPr>
        <w:t>.</w:t>
      </w:r>
    </w:p>
    <w:p w14:paraId="4B8B0256" w14:textId="5D9925CF" w:rsidR="007A5AAA" w:rsidRPr="007A5AAA" w:rsidRDefault="007A5AAA" w:rsidP="007A5AAA">
      <w:pPr>
        <w:pStyle w:val="Proposal"/>
        <w:rPr>
          <w:sz w:val="20"/>
          <w:szCs w:val="20"/>
        </w:rPr>
      </w:pPr>
      <w:bookmarkStart w:id="50" w:name="_Toc90912992"/>
      <w:r>
        <w:rPr>
          <w:sz w:val="20"/>
          <w:szCs w:val="20"/>
        </w:rPr>
        <w:t>PUCCH cell switching between</w:t>
      </w:r>
      <w:r w:rsidRPr="007A5AAA">
        <w:rPr>
          <w:rFonts w:cs="Arial"/>
          <w:sz w:val="20"/>
          <w:szCs w:val="20"/>
        </w:rPr>
        <w:t xml:space="preserve"> cell with</w:t>
      </w:r>
      <w:r>
        <w:rPr>
          <w:rFonts w:cs="Arial"/>
          <w:sz w:val="20"/>
          <w:szCs w:val="20"/>
        </w:rPr>
        <w:t xml:space="preserve"> licensed spectrum and cell with</w:t>
      </w:r>
      <w:r w:rsidRPr="007A5AAA">
        <w:rPr>
          <w:rFonts w:cs="Arial"/>
          <w:sz w:val="20"/>
          <w:szCs w:val="20"/>
        </w:rPr>
        <w:t xml:space="preserve"> shared spectrum channel access</w:t>
      </w:r>
      <w:r>
        <w:rPr>
          <w:rFonts w:cs="Arial"/>
          <w:sz w:val="20"/>
          <w:szCs w:val="20"/>
        </w:rPr>
        <w:t xml:space="preserve"> (in any mode) is supported</w:t>
      </w:r>
      <w:r w:rsidRPr="00034F56">
        <w:rPr>
          <w:rFonts w:cs="Arial"/>
          <w:sz w:val="20"/>
          <w:szCs w:val="20"/>
        </w:rPr>
        <w:t>.</w:t>
      </w:r>
      <w:bookmarkEnd w:id="50"/>
    </w:p>
    <w:p w14:paraId="16F5BB2C" w14:textId="4EFCAC1D" w:rsidR="00AF66D0" w:rsidRPr="007A5AAA" w:rsidRDefault="007A5AAA" w:rsidP="00A45839">
      <w:pPr>
        <w:pStyle w:val="Proposal"/>
        <w:rPr>
          <w:sz w:val="20"/>
          <w:szCs w:val="20"/>
        </w:rPr>
      </w:pPr>
      <w:bookmarkStart w:id="51" w:name="_Toc90912993"/>
      <w:r>
        <w:rPr>
          <w:rFonts w:cs="Arial"/>
          <w:sz w:val="20"/>
          <w:szCs w:val="20"/>
        </w:rPr>
        <w:t xml:space="preserve">The DCI size alignment handling for </w:t>
      </w:r>
      <w:proofErr w:type="spellStart"/>
      <w:r w:rsidRPr="006F2112">
        <w:rPr>
          <w:rFonts w:ascii="Times" w:eastAsia="Batang" w:hAnsi="Times" w:cs="Times"/>
          <w:bCs w:val="0"/>
          <w:i/>
          <w:iCs/>
        </w:rPr>
        <w:t>ChannelAccess-CPext</w:t>
      </w:r>
      <w:proofErr w:type="spellEnd"/>
      <w:r>
        <w:rPr>
          <w:rFonts w:cs="Arial"/>
          <w:sz w:val="20"/>
          <w:szCs w:val="20"/>
        </w:rPr>
        <w:t xml:space="preserve"> field is based on padding ‘0’ bits </w:t>
      </w:r>
      <w:r w:rsidRPr="007A5AAA">
        <w:rPr>
          <w:rFonts w:cs="Arial"/>
          <w:sz w:val="20"/>
          <w:szCs w:val="20"/>
        </w:rPr>
        <w:t>to smaller field until the bit width of the field for all the PUCCH cells are the same</w:t>
      </w:r>
      <w:r>
        <w:rPr>
          <w:rFonts w:cs="Arial"/>
          <w:sz w:val="20"/>
          <w:szCs w:val="20"/>
        </w:rPr>
        <w:t>.</w:t>
      </w:r>
      <w:bookmarkEnd w:id="51"/>
    </w:p>
    <w:p w14:paraId="0DAD43E8" w14:textId="77777777" w:rsidR="00AF66D0" w:rsidRPr="00034F56" w:rsidRDefault="00AF66D0" w:rsidP="00A45839">
      <w:pPr>
        <w:rPr>
          <w:rFonts w:ascii="Times New Roman" w:hAnsi="Times New Roman" w:cs="Times New Roman"/>
        </w:rPr>
      </w:pPr>
    </w:p>
    <w:p w14:paraId="4E5B945E" w14:textId="6A969487" w:rsidR="008D7B1C" w:rsidRDefault="008D7B1C" w:rsidP="008D7B1C">
      <w:pPr>
        <w:pStyle w:val="Heading3"/>
        <w:rPr>
          <w:lang w:val="en-US"/>
        </w:rPr>
      </w:pPr>
      <w:r>
        <w:t>2.</w:t>
      </w:r>
      <w:r w:rsidR="0090614B">
        <w:t>3</w:t>
      </w:r>
      <w:r>
        <w:t>.</w:t>
      </w:r>
      <w:r w:rsidR="008E6512">
        <w:t>3</w:t>
      </w:r>
      <w:r>
        <w:tab/>
      </w:r>
      <w:r>
        <w:rPr>
          <w:lang w:val="en-US"/>
        </w:rPr>
        <w:t xml:space="preserve">Interaction </w:t>
      </w:r>
      <w:r w:rsidR="00FF5B61">
        <w:rPr>
          <w:lang w:val="en-US"/>
        </w:rPr>
        <w:t>with</w:t>
      </w:r>
      <w:r>
        <w:rPr>
          <w:lang w:val="en-US"/>
        </w:rPr>
        <w:t xml:space="preserve"> PUCCH repetition</w:t>
      </w:r>
    </w:p>
    <w:p w14:paraId="5984959A" w14:textId="35157A3F" w:rsidR="00FF5B61" w:rsidRPr="007F78BE" w:rsidRDefault="00FF5B61" w:rsidP="00FF5B61">
      <w:pPr>
        <w:rPr>
          <w:rFonts w:ascii="Arial" w:hAnsi="Arial" w:cs="Arial"/>
          <w:sz w:val="20"/>
          <w:szCs w:val="20"/>
        </w:rPr>
      </w:pPr>
      <w:r w:rsidRPr="007F78BE">
        <w:rPr>
          <w:rFonts w:ascii="Arial" w:hAnsi="Arial" w:cs="Arial"/>
          <w:sz w:val="20"/>
          <w:szCs w:val="20"/>
        </w:rPr>
        <w:t>For semi-static PUCCH cell switching and PUCCH repetition, there were two alternatives under discussion on how the target PUCCH cell is determined/used for different PUCCH repetitions:</w:t>
      </w:r>
    </w:p>
    <w:p w14:paraId="4E6C0C76" w14:textId="77777777" w:rsidR="00FF5B61" w:rsidRPr="007F78BE" w:rsidRDefault="00FF5B61" w:rsidP="000D1997">
      <w:pPr>
        <w:numPr>
          <w:ilvl w:val="0"/>
          <w:numId w:val="60"/>
        </w:numPr>
        <w:rPr>
          <w:rFonts w:ascii="Arial" w:hAnsi="Arial" w:cs="Arial"/>
          <w:sz w:val="20"/>
          <w:szCs w:val="20"/>
        </w:rPr>
      </w:pPr>
      <w:r w:rsidRPr="007F78BE">
        <w:rPr>
          <w:rFonts w:ascii="Arial" w:hAnsi="Arial" w:cs="Arial"/>
          <w:sz w:val="20"/>
          <w:szCs w:val="20"/>
        </w:rPr>
        <w:t xml:space="preserve">Alt. 1: The target PUCCH cell is determined for each PUCCH repetition individually  </w:t>
      </w:r>
    </w:p>
    <w:p w14:paraId="2226EAB4" w14:textId="77777777" w:rsidR="00FF5B61" w:rsidRPr="007F78BE" w:rsidRDefault="00FF5B61" w:rsidP="000D1997">
      <w:pPr>
        <w:numPr>
          <w:ilvl w:val="1"/>
          <w:numId w:val="60"/>
        </w:numPr>
        <w:rPr>
          <w:rFonts w:ascii="Arial" w:hAnsi="Arial" w:cs="Arial"/>
          <w:sz w:val="20"/>
          <w:szCs w:val="20"/>
        </w:rPr>
      </w:pPr>
      <w:r w:rsidRPr="007F78BE">
        <w:rPr>
          <w:rFonts w:ascii="Arial" w:hAnsi="Arial" w:cs="Arial"/>
          <w:sz w:val="20"/>
          <w:szCs w:val="20"/>
        </w:rPr>
        <w:t>This may include the limitation of cell switching of the same SCS / PUCCH slot length</w:t>
      </w:r>
    </w:p>
    <w:p w14:paraId="5A25D20F" w14:textId="7B8780B3" w:rsidR="00FF5B61" w:rsidRPr="007F78BE" w:rsidRDefault="00FF5B61" w:rsidP="000D1997">
      <w:pPr>
        <w:numPr>
          <w:ilvl w:val="0"/>
          <w:numId w:val="60"/>
        </w:numPr>
        <w:rPr>
          <w:rFonts w:ascii="Arial" w:hAnsi="Arial" w:cs="Arial"/>
          <w:sz w:val="20"/>
          <w:szCs w:val="20"/>
        </w:rPr>
      </w:pPr>
      <w:r w:rsidRPr="007F78BE">
        <w:rPr>
          <w:rFonts w:ascii="Arial" w:hAnsi="Arial" w:cs="Arial"/>
          <w:sz w:val="20"/>
          <w:szCs w:val="20"/>
        </w:rPr>
        <w:t xml:space="preserve">Alt. 2: The target PUCCH cell determination applies to the first PUCCH repetition and the rest of the PUCCH repetitions use the same target PUCCH cell. </w:t>
      </w:r>
    </w:p>
    <w:p w14:paraId="76827C97" w14:textId="6C06BBC1" w:rsidR="00281D33" w:rsidRDefault="00281D33" w:rsidP="00FF5B61">
      <w:pPr>
        <w:rPr>
          <w:rFonts w:ascii="Arial" w:hAnsi="Arial" w:cs="Arial"/>
          <w:sz w:val="20"/>
          <w:szCs w:val="20"/>
        </w:rPr>
      </w:pPr>
      <w:r>
        <w:rPr>
          <w:rFonts w:ascii="Arial" w:hAnsi="Arial" w:cs="Arial"/>
          <w:sz w:val="20"/>
          <w:szCs w:val="20"/>
        </w:rPr>
        <w:t xml:space="preserve">Alt.1 </w:t>
      </w:r>
      <w:r w:rsidR="00F62755">
        <w:rPr>
          <w:rFonts w:ascii="Arial" w:hAnsi="Arial" w:cs="Arial"/>
          <w:sz w:val="20"/>
          <w:szCs w:val="20"/>
        </w:rPr>
        <w:t xml:space="preserve">may </w:t>
      </w:r>
      <w:r w:rsidR="000621D7">
        <w:rPr>
          <w:rFonts w:ascii="Arial" w:hAnsi="Arial" w:cs="Arial"/>
          <w:sz w:val="20"/>
          <w:szCs w:val="20"/>
        </w:rPr>
        <w:t>seem like</w:t>
      </w:r>
      <w:r>
        <w:rPr>
          <w:rFonts w:ascii="Arial" w:hAnsi="Arial" w:cs="Arial"/>
          <w:sz w:val="20"/>
          <w:szCs w:val="20"/>
        </w:rPr>
        <w:t xml:space="preserve"> a natural solution since the UE is already configured with semi-static time domain pattern </w:t>
      </w:r>
      <w:r w:rsidR="000621D7">
        <w:rPr>
          <w:rFonts w:ascii="Arial" w:hAnsi="Arial" w:cs="Arial"/>
          <w:sz w:val="20"/>
          <w:szCs w:val="20"/>
        </w:rPr>
        <w:t>to follow for</w:t>
      </w:r>
      <w:r w:rsidR="00F62755">
        <w:rPr>
          <w:rFonts w:ascii="Arial" w:hAnsi="Arial" w:cs="Arial"/>
          <w:sz w:val="20"/>
          <w:szCs w:val="20"/>
        </w:rPr>
        <w:t xml:space="preserve"> PUCCH </w:t>
      </w:r>
      <w:r w:rsidR="000621D7">
        <w:rPr>
          <w:rFonts w:ascii="Arial" w:hAnsi="Arial" w:cs="Arial"/>
          <w:sz w:val="20"/>
          <w:szCs w:val="20"/>
        </w:rPr>
        <w:t xml:space="preserve">transmission in each slot. However, there are some complications which need to be handled, e.g., when PUCCH resources configured for </w:t>
      </w:r>
      <w:proofErr w:type="spellStart"/>
      <w:r w:rsidR="000621D7">
        <w:rPr>
          <w:rFonts w:ascii="Arial" w:hAnsi="Arial" w:cs="Arial"/>
          <w:sz w:val="20"/>
          <w:szCs w:val="20"/>
        </w:rPr>
        <w:t>PCell</w:t>
      </w:r>
      <w:proofErr w:type="spellEnd"/>
      <w:r w:rsidR="000621D7">
        <w:rPr>
          <w:rFonts w:ascii="Arial" w:hAnsi="Arial" w:cs="Arial"/>
          <w:sz w:val="20"/>
          <w:szCs w:val="20"/>
        </w:rPr>
        <w:t xml:space="preserve"> and alternative </w:t>
      </w:r>
      <w:proofErr w:type="spellStart"/>
      <w:r w:rsidR="000621D7">
        <w:rPr>
          <w:rFonts w:ascii="Arial" w:hAnsi="Arial" w:cs="Arial"/>
          <w:sz w:val="20"/>
          <w:szCs w:val="20"/>
        </w:rPr>
        <w:t>SCell</w:t>
      </w:r>
      <w:proofErr w:type="spellEnd"/>
      <w:r w:rsidR="000621D7">
        <w:rPr>
          <w:rFonts w:ascii="Arial" w:hAnsi="Arial" w:cs="Arial"/>
          <w:sz w:val="20"/>
          <w:szCs w:val="20"/>
        </w:rPr>
        <w:t xml:space="preserve"> for PUCCH cell switching are different. The indicated PUCCH resource to be used for the first PUCCH repetition on the cell indicated by semi-static time domain pattern may not be available in the set of PUCCH resources configured for the other cell. Thus, some limitation on PUCCH resource configuration and/or indication may be needed. Moreover, when SCS of the two cells for PUCCH cell switching are different, there should be some limitation on the PUCCH resource indication so that the indicated PUCCH resource to use for PUCCH repetition is applicable for both cells. Some clarification on the reference SCS to use for counting/increasing the number of repetitions is also needed. </w:t>
      </w:r>
    </w:p>
    <w:p w14:paraId="7F43D73D" w14:textId="2448B130" w:rsidR="00FF5B61" w:rsidRDefault="000621D7" w:rsidP="00FF5B61">
      <w:pPr>
        <w:rPr>
          <w:rFonts w:ascii="Arial" w:hAnsi="Arial" w:cs="Arial"/>
          <w:sz w:val="20"/>
          <w:szCs w:val="20"/>
        </w:rPr>
      </w:pPr>
      <w:r>
        <w:rPr>
          <w:rFonts w:ascii="Arial" w:hAnsi="Arial" w:cs="Arial"/>
          <w:sz w:val="20"/>
          <w:szCs w:val="20"/>
        </w:rPr>
        <w:t xml:space="preserve">Alt. 2 appears to be </w:t>
      </w:r>
      <w:r w:rsidR="00FF5B61" w:rsidRPr="007F78BE">
        <w:rPr>
          <w:rFonts w:ascii="Arial" w:hAnsi="Arial" w:cs="Arial"/>
          <w:sz w:val="20"/>
          <w:szCs w:val="20"/>
        </w:rPr>
        <w:t>simple</w:t>
      </w:r>
      <w:r>
        <w:rPr>
          <w:rFonts w:ascii="Arial" w:hAnsi="Arial" w:cs="Arial"/>
          <w:sz w:val="20"/>
          <w:szCs w:val="20"/>
        </w:rPr>
        <w:t>r</w:t>
      </w:r>
      <w:r w:rsidR="00FF5B61" w:rsidRPr="007F78BE">
        <w:rPr>
          <w:rFonts w:ascii="Arial" w:hAnsi="Arial" w:cs="Arial"/>
          <w:sz w:val="20"/>
          <w:szCs w:val="20"/>
        </w:rPr>
        <w:t xml:space="preserve">. </w:t>
      </w:r>
      <w:r>
        <w:rPr>
          <w:rFonts w:ascii="Arial" w:hAnsi="Arial" w:cs="Arial"/>
          <w:sz w:val="20"/>
          <w:szCs w:val="20"/>
        </w:rPr>
        <w:t xml:space="preserve">The same PUCCH resource can be used for PUCCH repetition on the target PUCCH cell determined for the first repetition. </w:t>
      </w:r>
      <w:r w:rsidR="00FF5B61" w:rsidRPr="007F78BE">
        <w:rPr>
          <w:rFonts w:ascii="Arial" w:hAnsi="Arial" w:cs="Arial"/>
          <w:sz w:val="20"/>
          <w:szCs w:val="20"/>
        </w:rPr>
        <w:t>Since PUCCH repetition has built-in deferral, there should be no issue with having full PUCCH repetition transmitted in valid slots</w:t>
      </w:r>
      <w:r w:rsidR="00C82101">
        <w:rPr>
          <w:rFonts w:ascii="Arial" w:hAnsi="Arial" w:cs="Arial"/>
          <w:sz w:val="20"/>
          <w:szCs w:val="20"/>
        </w:rPr>
        <w:t xml:space="preserve"> </w:t>
      </w:r>
      <w:r w:rsidR="000E0C40">
        <w:rPr>
          <w:rFonts w:ascii="Arial" w:hAnsi="Arial" w:cs="Arial"/>
          <w:sz w:val="20"/>
          <w:szCs w:val="20"/>
        </w:rPr>
        <w:t xml:space="preserve">on the </w:t>
      </w:r>
      <w:r w:rsidR="003E3A84">
        <w:rPr>
          <w:rFonts w:ascii="Arial" w:hAnsi="Arial" w:cs="Arial"/>
          <w:sz w:val="20"/>
          <w:szCs w:val="20"/>
        </w:rPr>
        <w:t xml:space="preserve">target PUCCH cell </w:t>
      </w:r>
      <w:r w:rsidR="009A388D">
        <w:rPr>
          <w:rFonts w:ascii="Arial" w:hAnsi="Arial" w:cs="Arial"/>
          <w:sz w:val="20"/>
          <w:szCs w:val="20"/>
        </w:rPr>
        <w:t>determined for the first repetition</w:t>
      </w:r>
      <w:r w:rsidR="00FF5B61" w:rsidRPr="007F78BE">
        <w:rPr>
          <w:rFonts w:ascii="Arial" w:hAnsi="Arial" w:cs="Arial"/>
          <w:sz w:val="20"/>
          <w:szCs w:val="20"/>
        </w:rPr>
        <w:t xml:space="preserve">. </w:t>
      </w:r>
      <w:r w:rsidRPr="000621D7">
        <w:rPr>
          <w:rFonts w:ascii="Arial" w:hAnsi="Arial" w:cs="Arial"/>
          <w:sz w:val="20"/>
          <w:szCs w:val="20"/>
        </w:rPr>
        <w:t xml:space="preserve"> </w:t>
      </w:r>
    </w:p>
    <w:p w14:paraId="13E51758" w14:textId="7745A05E" w:rsidR="000621D7" w:rsidRDefault="000621D7" w:rsidP="00FF5B61">
      <w:pPr>
        <w:rPr>
          <w:rFonts w:ascii="Arial" w:hAnsi="Arial" w:cs="Arial"/>
          <w:sz w:val="20"/>
          <w:szCs w:val="20"/>
        </w:rPr>
      </w:pPr>
      <w:r>
        <w:rPr>
          <w:rFonts w:ascii="Arial" w:hAnsi="Arial" w:cs="Arial"/>
          <w:sz w:val="20"/>
          <w:szCs w:val="20"/>
        </w:rPr>
        <w:t>Based on above discussion and given the remaining time in RAN 1, Alt. 2 is preferred.</w:t>
      </w:r>
    </w:p>
    <w:p w14:paraId="7E362E1B" w14:textId="6E953942" w:rsidR="000621D7" w:rsidRPr="000B68BE" w:rsidRDefault="0092130C" w:rsidP="000B68BE">
      <w:pPr>
        <w:pStyle w:val="Observation"/>
      </w:pPr>
      <w:bookmarkStart w:id="52" w:name="_Toc90912996"/>
      <w:r>
        <w:t xml:space="preserve">Some limitations on PUCCH resource configurations and/or indication are needed to support PUCCH repetition on </w:t>
      </w:r>
      <w:r w:rsidRPr="0092130C">
        <w:t>target PUCCH cell</w:t>
      </w:r>
      <w:r>
        <w:t>s</w:t>
      </w:r>
      <w:r w:rsidRPr="0092130C">
        <w:t xml:space="preserve"> </w:t>
      </w:r>
      <w:r>
        <w:t xml:space="preserve">determined </w:t>
      </w:r>
      <w:r w:rsidRPr="0092130C">
        <w:t>individually for each PUCCH repetition</w:t>
      </w:r>
      <w:r>
        <w:t>.</w:t>
      </w:r>
      <w:bookmarkEnd w:id="52"/>
      <w:r w:rsidRPr="0092130C">
        <w:t xml:space="preserve"> </w:t>
      </w:r>
    </w:p>
    <w:p w14:paraId="016FE4C9" w14:textId="226D9B12" w:rsidR="008D7B1C" w:rsidRPr="00851552" w:rsidRDefault="00FF5B61" w:rsidP="008D5FF5">
      <w:pPr>
        <w:pStyle w:val="Proposal"/>
        <w:rPr>
          <w:rFonts w:cs="Arial"/>
          <w:sz w:val="20"/>
          <w:szCs w:val="20"/>
        </w:rPr>
      </w:pPr>
      <w:bookmarkStart w:id="53" w:name="_Toc90912994"/>
      <w:r w:rsidRPr="007F78BE">
        <w:rPr>
          <w:rFonts w:cs="Arial"/>
          <w:sz w:val="20"/>
          <w:szCs w:val="20"/>
        </w:rPr>
        <w:lastRenderedPageBreak/>
        <w:t>For semi-static PUCCH cell switching and PUCCH repetition</w:t>
      </w:r>
      <w:r w:rsidRPr="007F78BE">
        <w:rPr>
          <w:sz w:val="20"/>
          <w:szCs w:val="20"/>
        </w:rPr>
        <w:t>, the target PUCCH cell determination applies to the first PUCCH repetition and the rest of the PUCCH repetitions use the same target PUCCH cell.</w:t>
      </w:r>
      <w:bookmarkEnd w:id="53"/>
    </w:p>
    <w:p w14:paraId="61E2C9D8" w14:textId="77777777" w:rsidR="00851552" w:rsidRPr="000B68BE" w:rsidRDefault="00851552" w:rsidP="00851552"/>
    <w:p w14:paraId="288D4CD0" w14:textId="225BB091" w:rsidR="00C01F33" w:rsidRPr="00CE0424" w:rsidRDefault="005303B2" w:rsidP="00CE0424">
      <w:pPr>
        <w:pStyle w:val="Heading1"/>
      </w:pPr>
      <w:r>
        <w:t>3</w:t>
      </w:r>
      <w:r>
        <w:tab/>
      </w:r>
      <w:r w:rsidR="00C01F33" w:rsidRPr="00CE0424">
        <w:t>Conclusion</w:t>
      </w:r>
    </w:p>
    <w:p w14:paraId="4FC88740" w14:textId="77777777" w:rsidR="008E065E" w:rsidRPr="007F78BE" w:rsidRDefault="008E065E" w:rsidP="008E065E">
      <w:pPr>
        <w:pStyle w:val="BodyText"/>
        <w:rPr>
          <w:b/>
          <w:sz w:val="20"/>
          <w:szCs w:val="20"/>
        </w:rPr>
      </w:pPr>
      <w:r w:rsidRPr="007F78BE">
        <w:rPr>
          <w:sz w:val="20"/>
          <w:szCs w:val="20"/>
        </w:rPr>
        <w:t xml:space="preserve">In </w:t>
      </w:r>
      <w:r w:rsidR="007729A2" w:rsidRPr="007F78BE">
        <w:rPr>
          <w:sz w:val="20"/>
          <w:szCs w:val="20"/>
        </w:rPr>
        <w:t xml:space="preserve">the previous </w:t>
      </w:r>
      <w:r w:rsidRPr="007F78BE">
        <w:rPr>
          <w:sz w:val="20"/>
          <w:szCs w:val="20"/>
        </w:rPr>
        <w:t>section</w:t>
      </w:r>
      <w:r w:rsidR="007729A2" w:rsidRPr="007F78BE">
        <w:rPr>
          <w:sz w:val="20"/>
          <w:szCs w:val="20"/>
        </w:rPr>
        <w:t>s</w:t>
      </w:r>
      <w:r w:rsidRPr="007F78BE">
        <w:rPr>
          <w:sz w:val="20"/>
          <w:szCs w:val="20"/>
        </w:rPr>
        <w:t xml:space="preserve"> we made the following observations:</w:t>
      </w:r>
      <w:r w:rsidR="00C93814" w:rsidRPr="007F78BE">
        <w:rPr>
          <w:b/>
          <w:sz w:val="20"/>
          <w:szCs w:val="20"/>
        </w:rPr>
        <w:t xml:space="preserve"> </w:t>
      </w:r>
    </w:p>
    <w:p w14:paraId="0FB50586" w14:textId="77777777" w:rsidR="003872F3" w:rsidRDefault="006F6582">
      <w:pPr>
        <w:pStyle w:val="TableofFigures"/>
        <w:tabs>
          <w:tab w:val="right" w:leader="dot" w:pos="9629"/>
        </w:tabs>
        <w:rPr>
          <w:rFonts w:asciiTheme="minorHAnsi" w:hAnsiTheme="minorHAnsi"/>
          <w:b w:val="0"/>
          <w:noProof/>
        </w:rPr>
      </w:pPr>
      <w:r w:rsidRPr="005152FF">
        <w:rPr>
          <w:b w:val="0"/>
          <w:bCs/>
          <w:sz w:val="20"/>
          <w:szCs w:val="20"/>
        </w:rPr>
        <w:fldChar w:fldCharType="begin"/>
      </w:r>
      <w:r w:rsidRPr="005152FF">
        <w:rPr>
          <w:b w:val="0"/>
          <w:bCs/>
          <w:sz w:val="20"/>
          <w:szCs w:val="20"/>
        </w:rPr>
        <w:instrText xml:space="preserve"> TOC \f O \n \h \z \t "Observation" \c </w:instrText>
      </w:r>
      <w:r w:rsidRPr="005152FF">
        <w:rPr>
          <w:b w:val="0"/>
          <w:bCs/>
          <w:sz w:val="20"/>
          <w:szCs w:val="20"/>
        </w:rPr>
        <w:fldChar w:fldCharType="separate"/>
      </w:r>
      <w:hyperlink w:anchor="_Toc90912995" w:history="1">
        <w:r w:rsidR="003872F3" w:rsidRPr="00696F89">
          <w:rPr>
            <w:rStyle w:val="Hyperlink"/>
            <w:noProof/>
          </w:rPr>
          <w:t>Observation 1</w:t>
        </w:r>
        <w:r w:rsidR="003872F3">
          <w:rPr>
            <w:rFonts w:asciiTheme="minorHAnsi" w:hAnsiTheme="minorHAnsi"/>
            <w:b w:val="0"/>
            <w:noProof/>
          </w:rPr>
          <w:tab/>
        </w:r>
        <w:r w:rsidR="003872F3" w:rsidRPr="00696F89">
          <w:rPr>
            <w:rStyle w:val="Hyperlink"/>
            <w:noProof/>
          </w:rPr>
          <w:t xml:space="preserve">PUCCH with DL SPS HARQ-ACK is subject to dropping when </w:t>
        </w:r>
        <w:r w:rsidR="003872F3" w:rsidRPr="00696F89">
          <w:rPr>
            <w:rStyle w:val="Hyperlink"/>
            <w:rFonts w:cs="Arial"/>
            <w:noProof/>
          </w:rPr>
          <w:t>during the repetition span there are more than one DL SPS transmission opportunity.</w:t>
        </w:r>
      </w:hyperlink>
    </w:p>
    <w:p w14:paraId="2EA1AC1D" w14:textId="77777777" w:rsidR="003872F3" w:rsidRDefault="0058288A">
      <w:pPr>
        <w:pStyle w:val="TableofFigures"/>
        <w:tabs>
          <w:tab w:val="right" w:leader="dot" w:pos="9629"/>
        </w:tabs>
        <w:rPr>
          <w:rFonts w:asciiTheme="minorHAnsi" w:hAnsiTheme="minorHAnsi"/>
          <w:b w:val="0"/>
          <w:noProof/>
        </w:rPr>
      </w:pPr>
      <w:hyperlink w:anchor="_Toc90912996" w:history="1">
        <w:r w:rsidR="003872F3" w:rsidRPr="00696F89">
          <w:rPr>
            <w:rStyle w:val="Hyperlink"/>
            <w:noProof/>
          </w:rPr>
          <w:t>Observation 2</w:t>
        </w:r>
        <w:r w:rsidR="003872F3">
          <w:rPr>
            <w:rFonts w:asciiTheme="minorHAnsi" w:hAnsiTheme="minorHAnsi"/>
            <w:b w:val="0"/>
            <w:noProof/>
          </w:rPr>
          <w:tab/>
        </w:r>
        <w:r w:rsidR="003872F3" w:rsidRPr="00696F89">
          <w:rPr>
            <w:rStyle w:val="Hyperlink"/>
            <w:noProof/>
          </w:rPr>
          <w:t>Some limitations on PUCCH resource configurations and/or indication are needed to support PUCCH repetition on target PUCCH cells determined individually for each PUCCH repetition.</w:t>
        </w:r>
      </w:hyperlink>
    </w:p>
    <w:p w14:paraId="000C83DA" w14:textId="0B54A47D" w:rsidR="006E1C82" w:rsidRPr="0092130C" w:rsidRDefault="006F6582" w:rsidP="008E065E">
      <w:pPr>
        <w:pStyle w:val="BodyText"/>
        <w:rPr>
          <w:b/>
          <w:sz w:val="20"/>
          <w:szCs w:val="20"/>
        </w:rPr>
      </w:pPr>
      <w:r w:rsidRPr="005152FF">
        <w:rPr>
          <w:b/>
          <w:bCs/>
          <w:sz w:val="20"/>
          <w:szCs w:val="20"/>
        </w:rPr>
        <w:fldChar w:fldCharType="end"/>
      </w:r>
    </w:p>
    <w:p w14:paraId="7B2AE901" w14:textId="77777777" w:rsidR="006E1C82" w:rsidRPr="007F78BE" w:rsidRDefault="008E065E" w:rsidP="006E1C82">
      <w:pPr>
        <w:pStyle w:val="BodyText"/>
        <w:rPr>
          <w:sz w:val="20"/>
          <w:szCs w:val="20"/>
        </w:rPr>
      </w:pPr>
      <w:r w:rsidRPr="007F78BE">
        <w:rPr>
          <w:sz w:val="20"/>
          <w:szCs w:val="20"/>
        </w:rPr>
        <w:t xml:space="preserve">Based on the discussion in </w:t>
      </w:r>
      <w:r w:rsidR="007729A2" w:rsidRPr="007F78BE">
        <w:rPr>
          <w:sz w:val="20"/>
          <w:szCs w:val="20"/>
        </w:rPr>
        <w:t xml:space="preserve">the previous </w:t>
      </w:r>
      <w:r w:rsidRPr="007F78BE">
        <w:rPr>
          <w:sz w:val="20"/>
          <w:szCs w:val="20"/>
        </w:rPr>
        <w:t>section</w:t>
      </w:r>
      <w:r w:rsidR="007729A2" w:rsidRPr="007F78BE">
        <w:rPr>
          <w:sz w:val="20"/>
          <w:szCs w:val="20"/>
        </w:rPr>
        <w:t>s</w:t>
      </w:r>
      <w:r w:rsidRPr="007F78BE">
        <w:rPr>
          <w:sz w:val="20"/>
          <w:szCs w:val="20"/>
        </w:rPr>
        <w:t xml:space="preserve"> we propose the following:</w:t>
      </w:r>
    </w:p>
    <w:p w14:paraId="2D1C224F" w14:textId="77777777" w:rsidR="003872F3" w:rsidRDefault="006E1C82">
      <w:pPr>
        <w:pStyle w:val="TableofFigures"/>
        <w:tabs>
          <w:tab w:val="right" w:leader="dot" w:pos="9629"/>
        </w:tabs>
        <w:rPr>
          <w:rFonts w:asciiTheme="minorHAnsi" w:hAnsiTheme="minorHAnsi"/>
          <w:b w:val="0"/>
          <w:noProof/>
        </w:rPr>
      </w:pPr>
      <w:r w:rsidRPr="00EA70FE">
        <w:rPr>
          <w:b w:val="0"/>
          <w:bCs/>
          <w:sz w:val="18"/>
          <w:szCs w:val="18"/>
        </w:rPr>
        <w:fldChar w:fldCharType="begin"/>
      </w:r>
      <w:r w:rsidRPr="00EA70FE">
        <w:rPr>
          <w:b w:val="0"/>
          <w:bCs/>
          <w:sz w:val="18"/>
          <w:szCs w:val="18"/>
        </w:rPr>
        <w:instrText xml:space="preserve"> TOC \n \h \z \t "Proposal" \c </w:instrText>
      </w:r>
      <w:r w:rsidRPr="00EA70FE">
        <w:rPr>
          <w:b w:val="0"/>
          <w:bCs/>
          <w:sz w:val="18"/>
          <w:szCs w:val="18"/>
        </w:rPr>
        <w:fldChar w:fldCharType="separate"/>
      </w:r>
      <w:hyperlink w:anchor="_Toc90912982" w:history="1">
        <w:r w:rsidR="003872F3" w:rsidRPr="008164D1">
          <w:rPr>
            <w:rStyle w:val="Hyperlink"/>
            <w:rFonts w:cs="Arial"/>
            <w:noProof/>
          </w:rPr>
          <w:t>Proposal 1</w:t>
        </w:r>
        <w:r w:rsidR="003872F3">
          <w:rPr>
            <w:rFonts w:asciiTheme="minorHAnsi" w:hAnsiTheme="minorHAnsi"/>
            <w:b w:val="0"/>
            <w:noProof/>
          </w:rPr>
          <w:tab/>
        </w:r>
        <w:r w:rsidR="003872F3" w:rsidRPr="008164D1">
          <w:rPr>
            <w:rStyle w:val="Hyperlink"/>
            <w:noProof/>
          </w:rPr>
          <w:t>HARQ-ACK DL SPS deferral and PUCCH repetition can be simultaneously configured.</w:t>
        </w:r>
      </w:hyperlink>
    </w:p>
    <w:p w14:paraId="2B5CFCAE" w14:textId="77777777" w:rsidR="003872F3" w:rsidRDefault="0058288A">
      <w:pPr>
        <w:pStyle w:val="TableofFigures"/>
        <w:tabs>
          <w:tab w:val="right" w:leader="dot" w:pos="9629"/>
        </w:tabs>
        <w:rPr>
          <w:rFonts w:asciiTheme="minorHAnsi" w:hAnsiTheme="minorHAnsi"/>
          <w:b w:val="0"/>
          <w:noProof/>
        </w:rPr>
      </w:pPr>
      <w:hyperlink w:anchor="_Toc90912983" w:history="1">
        <w:r w:rsidR="003872F3" w:rsidRPr="008164D1">
          <w:rPr>
            <w:rStyle w:val="Hyperlink"/>
            <w:rFonts w:cs="Arial"/>
            <w:noProof/>
          </w:rPr>
          <w:t>Proposal 2</w:t>
        </w:r>
        <w:r w:rsidR="003872F3">
          <w:rPr>
            <w:rFonts w:asciiTheme="minorHAnsi" w:hAnsiTheme="minorHAnsi"/>
            <w:b w:val="0"/>
            <w:noProof/>
          </w:rPr>
          <w:tab/>
        </w:r>
        <w:r w:rsidR="003872F3" w:rsidRPr="008164D1">
          <w:rPr>
            <w:rStyle w:val="Hyperlink"/>
            <w:rFonts w:cs="Arial"/>
            <w:noProof/>
          </w:rPr>
          <w:t>Support the following repetition rule for DL SPS deferral: When a PUCCH carrying SPS HARQ-ACK partially overlaps in a slot with a PUCCH repetition(s) that is started earlier and carries HARQ-ACK, that slot is assumed unavailable for DL SPS deferral for PUCCH carrying SPS HARQ-ACK. and the DL SPS HARQ-ACK can be deferred further to determine target slot.</w:t>
        </w:r>
      </w:hyperlink>
    </w:p>
    <w:p w14:paraId="295659BB" w14:textId="77777777" w:rsidR="003872F3" w:rsidRDefault="0058288A">
      <w:pPr>
        <w:pStyle w:val="TableofFigures"/>
        <w:tabs>
          <w:tab w:val="right" w:leader="dot" w:pos="9629"/>
        </w:tabs>
        <w:rPr>
          <w:rFonts w:asciiTheme="minorHAnsi" w:hAnsiTheme="minorHAnsi"/>
          <w:b w:val="0"/>
          <w:noProof/>
        </w:rPr>
      </w:pPr>
      <w:hyperlink w:anchor="_Toc90912984" w:history="1">
        <w:r w:rsidR="003872F3" w:rsidRPr="008164D1">
          <w:rPr>
            <w:rStyle w:val="Hyperlink"/>
            <w:rFonts w:cs="Arial"/>
            <w:noProof/>
          </w:rPr>
          <w:t>Proposal 3</w:t>
        </w:r>
        <w:r w:rsidR="003872F3">
          <w:rPr>
            <w:rFonts w:asciiTheme="minorHAnsi" w:hAnsiTheme="minorHAnsi"/>
            <w:b w:val="0"/>
            <w:noProof/>
          </w:rPr>
          <w:tab/>
        </w:r>
        <w:r w:rsidR="003872F3" w:rsidRPr="008164D1">
          <w:rPr>
            <w:rStyle w:val="Hyperlink"/>
            <w:noProof/>
          </w:rPr>
          <w:t>Support Alt 3 together with the proposed repetition rule for DL SPS deferral (i.e. Proposal 2) when DL SPs deferral and PUCCH repetition are simultaneously enabled.</w:t>
        </w:r>
      </w:hyperlink>
    </w:p>
    <w:p w14:paraId="70BD2F73" w14:textId="77777777" w:rsidR="003872F3" w:rsidRDefault="0058288A">
      <w:pPr>
        <w:pStyle w:val="TableofFigures"/>
        <w:tabs>
          <w:tab w:val="right" w:leader="dot" w:pos="9629"/>
        </w:tabs>
        <w:rPr>
          <w:rFonts w:asciiTheme="minorHAnsi" w:hAnsiTheme="minorHAnsi"/>
          <w:b w:val="0"/>
          <w:noProof/>
        </w:rPr>
      </w:pPr>
      <w:hyperlink w:anchor="_Toc90912985" w:history="1">
        <w:r w:rsidR="003872F3" w:rsidRPr="008164D1">
          <w:rPr>
            <w:rStyle w:val="Hyperlink"/>
            <w:rFonts w:cs="Arial"/>
            <w:noProof/>
          </w:rPr>
          <w:t>Proposal 4</w:t>
        </w:r>
        <w:r w:rsidR="003872F3">
          <w:rPr>
            <w:rFonts w:asciiTheme="minorHAnsi" w:hAnsiTheme="minorHAnsi"/>
            <w:b w:val="0"/>
            <w:noProof/>
          </w:rPr>
          <w:tab/>
        </w:r>
        <w:r w:rsidR="003872F3" w:rsidRPr="008164D1">
          <w:rPr>
            <w:rStyle w:val="Hyperlink"/>
            <w:rFonts w:cs="Arial"/>
            <w:noProof/>
            <w:lang w:eastAsia="ja-JP"/>
          </w:rPr>
          <w:t>For PUCCH cell switching based on dynamic indication in the SPS activation DCI, the PUCCH cell indicator indicates a PUCCH cell to use for SPS HARQ-ACK of the SPS PDSCHs.</w:t>
        </w:r>
      </w:hyperlink>
    </w:p>
    <w:p w14:paraId="24D24AC9" w14:textId="77777777" w:rsidR="003872F3" w:rsidRDefault="0058288A">
      <w:pPr>
        <w:pStyle w:val="TableofFigures"/>
        <w:tabs>
          <w:tab w:val="right" w:leader="dot" w:pos="9629"/>
        </w:tabs>
        <w:rPr>
          <w:rFonts w:asciiTheme="minorHAnsi" w:hAnsiTheme="minorHAnsi"/>
          <w:b w:val="0"/>
          <w:noProof/>
        </w:rPr>
      </w:pPr>
      <w:hyperlink w:anchor="_Toc90912986" w:history="1">
        <w:r w:rsidR="003872F3" w:rsidRPr="008164D1">
          <w:rPr>
            <w:rStyle w:val="Hyperlink"/>
            <w:rFonts w:cs="Arial"/>
            <w:noProof/>
          </w:rPr>
          <w:t>Proposal 5</w:t>
        </w:r>
        <w:r w:rsidR="003872F3">
          <w:rPr>
            <w:rFonts w:asciiTheme="minorHAnsi" w:hAnsiTheme="minorHAnsi"/>
            <w:b w:val="0"/>
            <w:noProof/>
          </w:rPr>
          <w:tab/>
        </w:r>
        <w:r w:rsidR="003872F3" w:rsidRPr="008164D1">
          <w:rPr>
            <w:rStyle w:val="Hyperlink"/>
            <w:rFonts w:cs="Arial"/>
            <w:noProof/>
            <w:lang w:eastAsia="ja-JP"/>
          </w:rPr>
          <w:t>If SPS HARQ-ACK deferral is enabled for the SPS configuration activated with PUCCH cell indicator, the deferral can be applied when needed on the target/indicated PUCCH cell.</w:t>
        </w:r>
      </w:hyperlink>
    </w:p>
    <w:p w14:paraId="328BCC2C" w14:textId="77777777" w:rsidR="003872F3" w:rsidRDefault="0058288A">
      <w:pPr>
        <w:pStyle w:val="TableofFigures"/>
        <w:tabs>
          <w:tab w:val="right" w:leader="dot" w:pos="9629"/>
        </w:tabs>
        <w:rPr>
          <w:rFonts w:asciiTheme="minorHAnsi" w:hAnsiTheme="minorHAnsi"/>
          <w:b w:val="0"/>
          <w:noProof/>
        </w:rPr>
      </w:pPr>
      <w:hyperlink w:anchor="_Toc90912987" w:history="1">
        <w:r w:rsidR="003872F3" w:rsidRPr="008164D1">
          <w:rPr>
            <w:rStyle w:val="Hyperlink"/>
            <w:rFonts w:cs="Arial"/>
            <w:noProof/>
          </w:rPr>
          <w:t>Proposal 6</w:t>
        </w:r>
        <w:r w:rsidR="003872F3">
          <w:rPr>
            <w:rFonts w:asciiTheme="minorHAnsi" w:hAnsiTheme="minorHAnsi"/>
            <w:b w:val="0"/>
            <w:noProof/>
          </w:rPr>
          <w:tab/>
        </w:r>
        <w:r w:rsidR="003872F3" w:rsidRPr="008164D1">
          <w:rPr>
            <w:rStyle w:val="Hyperlink"/>
            <w:rFonts w:cs="Arial"/>
            <w:noProof/>
            <w:lang w:eastAsia="ja-JP"/>
          </w:rPr>
          <w:t>If after the Rel-17 multiplexing operation into a PUCCH or PUSCH if any, and if the UE would be transmitting SPS HARQ-ACK using the PUCCH SPS-PUCCH-AN-List-r16 or n1PUCCH-AN which is not valid, the SPS HARQ-ACK configured for deferral is deferred.</w:t>
        </w:r>
      </w:hyperlink>
    </w:p>
    <w:p w14:paraId="382494F1" w14:textId="77777777" w:rsidR="003872F3" w:rsidRDefault="0058288A">
      <w:pPr>
        <w:pStyle w:val="TableofFigures"/>
        <w:tabs>
          <w:tab w:val="right" w:leader="dot" w:pos="9629"/>
        </w:tabs>
        <w:rPr>
          <w:rFonts w:asciiTheme="minorHAnsi" w:hAnsiTheme="minorHAnsi"/>
          <w:b w:val="0"/>
          <w:noProof/>
        </w:rPr>
      </w:pPr>
      <w:hyperlink w:anchor="_Toc90912988" w:history="1">
        <w:r w:rsidR="003872F3" w:rsidRPr="008164D1">
          <w:rPr>
            <w:rStyle w:val="Hyperlink"/>
            <w:rFonts w:cs="Arial"/>
            <w:noProof/>
          </w:rPr>
          <w:t>Proposal 7</w:t>
        </w:r>
        <w:r w:rsidR="003872F3">
          <w:rPr>
            <w:rFonts w:asciiTheme="minorHAnsi" w:hAnsiTheme="minorHAnsi"/>
            <w:b w:val="0"/>
            <w:noProof/>
          </w:rPr>
          <w:tab/>
        </w:r>
        <w:r w:rsidR="003872F3" w:rsidRPr="008164D1">
          <w:rPr>
            <w:rStyle w:val="Hyperlink"/>
            <w:noProof/>
            <w:lang w:eastAsia="ja-JP"/>
          </w:rPr>
          <w:t>SPS HARQ-ACK of different PHY priorities can be separately deferred with the target PUCCHs separately determined according to their respective PHY priorities. T</w:t>
        </w:r>
        <w:r w:rsidR="003872F3" w:rsidRPr="008164D1">
          <w:rPr>
            <w:rStyle w:val="Hyperlink"/>
            <w:rFonts w:cs="Arial"/>
            <w:noProof/>
            <w:lang w:eastAsia="ja-JP"/>
          </w:rPr>
          <w:t>hen depending on where the target slot(s) is/are located, Rel-17 intra UE multiplexing can be applied when applicable.</w:t>
        </w:r>
      </w:hyperlink>
    </w:p>
    <w:p w14:paraId="6E72BD09" w14:textId="77777777" w:rsidR="003872F3" w:rsidRDefault="0058288A">
      <w:pPr>
        <w:pStyle w:val="TableofFigures"/>
        <w:tabs>
          <w:tab w:val="right" w:leader="dot" w:pos="9629"/>
        </w:tabs>
        <w:rPr>
          <w:rFonts w:asciiTheme="minorHAnsi" w:hAnsiTheme="minorHAnsi"/>
          <w:b w:val="0"/>
          <w:noProof/>
        </w:rPr>
      </w:pPr>
      <w:hyperlink w:anchor="_Toc90912989" w:history="1">
        <w:r w:rsidR="003872F3" w:rsidRPr="008164D1">
          <w:rPr>
            <w:rStyle w:val="Hyperlink"/>
            <w:rFonts w:cs="Arial"/>
            <w:noProof/>
          </w:rPr>
          <w:t>Proposal 8</w:t>
        </w:r>
        <w:r w:rsidR="003872F3">
          <w:rPr>
            <w:rFonts w:asciiTheme="minorHAnsi" w:hAnsiTheme="minorHAnsi"/>
            <w:b w:val="0"/>
            <w:noProof/>
          </w:rPr>
          <w:tab/>
        </w:r>
        <w:r w:rsidR="003872F3" w:rsidRPr="008164D1">
          <w:rPr>
            <w:rStyle w:val="Hyperlink"/>
            <w:rFonts w:cs="Arial"/>
            <w:noProof/>
            <w:lang w:eastAsia="ja-JP"/>
          </w:rPr>
          <w:t>Confirm the working assumption made in RAN1 #107-e regarding one-shot triggering of HARQ re-transmission before the initial PUCCH transmission slot.</w:t>
        </w:r>
      </w:hyperlink>
    </w:p>
    <w:p w14:paraId="42CAFA28" w14:textId="77777777" w:rsidR="003872F3" w:rsidRDefault="0058288A">
      <w:pPr>
        <w:pStyle w:val="TableofFigures"/>
        <w:tabs>
          <w:tab w:val="right" w:leader="dot" w:pos="9629"/>
        </w:tabs>
        <w:rPr>
          <w:rFonts w:asciiTheme="minorHAnsi" w:hAnsiTheme="minorHAnsi"/>
          <w:b w:val="0"/>
          <w:noProof/>
        </w:rPr>
      </w:pPr>
      <w:hyperlink w:anchor="_Toc90912990" w:history="1">
        <w:r w:rsidR="003872F3" w:rsidRPr="008164D1">
          <w:rPr>
            <w:rStyle w:val="Hyperlink"/>
            <w:rFonts w:cs="Arial"/>
            <w:noProof/>
          </w:rPr>
          <w:t>Proposal 9</w:t>
        </w:r>
        <w:r w:rsidR="003872F3">
          <w:rPr>
            <w:rFonts w:asciiTheme="minorHAnsi" w:hAnsiTheme="minorHAnsi"/>
            <w:b w:val="0"/>
            <w:noProof/>
          </w:rPr>
          <w:tab/>
        </w:r>
        <w:r w:rsidR="003872F3" w:rsidRPr="008164D1">
          <w:rPr>
            <w:rStyle w:val="Hyperlink"/>
            <w:noProof/>
          </w:rPr>
          <w:t xml:space="preserve">The value range of the “HARQ-rx offset” can contain both positive and negative integers, e.g., </w:t>
        </w:r>
        <w:r w:rsidR="003872F3" w:rsidRPr="008164D1">
          <w:rPr>
            <w:rStyle w:val="Hyperlink"/>
            <w:rFonts w:cs="Arial"/>
            <w:noProof/>
          </w:rPr>
          <w:t>(-16...16) or (-16….32). Depending on the agreed range, some fixed size DCI field can be used for the indication.</w:t>
        </w:r>
      </w:hyperlink>
    </w:p>
    <w:p w14:paraId="7FEB9BFB" w14:textId="77777777" w:rsidR="003872F3" w:rsidRDefault="0058288A">
      <w:pPr>
        <w:pStyle w:val="TableofFigures"/>
        <w:tabs>
          <w:tab w:val="right" w:leader="dot" w:pos="9629"/>
        </w:tabs>
        <w:rPr>
          <w:rFonts w:asciiTheme="minorHAnsi" w:hAnsiTheme="minorHAnsi"/>
          <w:b w:val="0"/>
          <w:noProof/>
        </w:rPr>
      </w:pPr>
      <w:hyperlink w:anchor="_Toc90912991" w:history="1">
        <w:r w:rsidR="003872F3" w:rsidRPr="008164D1">
          <w:rPr>
            <w:rStyle w:val="Hyperlink"/>
            <w:rFonts w:cs="Arial"/>
            <w:noProof/>
          </w:rPr>
          <w:t>Proposal 10</w:t>
        </w:r>
        <w:r w:rsidR="003872F3">
          <w:rPr>
            <w:rFonts w:asciiTheme="minorHAnsi" w:hAnsiTheme="minorHAnsi"/>
            <w:b w:val="0"/>
            <w:noProof/>
          </w:rPr>
          <w:tab/>
        </w:r>
        <w:r w:rsidR="003872F3" w:rsidRPr="008164D1">
          <w:rPr>
            <w:rStyle w:val="Hyperlink"/>
            <w:noProof/>
          </w:rPr>
          <w:t>For Type-1 HARQ-ACK codebook generation on SCell with PUCCH cell switching, the legacy procedure is reused with clarification on the reference for the K1 set, i.e., for dynamic cell switching, it is based on K1 set configured for the SCell, while for semi-static cell switching, it is based on K1 set configured for PCell</w:t>
        </w:r>
        <w:r w:rsidR="003872F3" w:rsidRPr="008164D1">
          <w:rPr>
            <w:rStyle w:val="Hyperlink"/>
            <w:rFonts w:cs="Arial"/>
            <w:noProof/>
          </w:rPr>
          <w:t>.</w:t>
        </w:r>
      </w:hyperlink>
    </w:p>
    <w:p w14:paraId="0CCBE905" w14:textId="77777777" w:rsidR="003872F3" w:rsidRDefault="0058288A">
      <w:pPr>
        <w:pStyle w:val="TableofFigures"/>
        <w:tabs>
          <w:tab w:val="right" w:leader="dot" w:pos="9629"/>
        </w:tabs>
        <w:rPr>
          <w:rFonts w:asciiTheme="minorHAnsi" w:hAnsiTheme="minorHAnsi"/>
          <w:b w:val="0"/>
          <w:noProof/>
        </w:rPr>
      </w:pPr>
      <w:hyperlink w:anchor="_Toc90912992" w:history="1">
        <w:r w:rsidR="003872F3" w:rsidRPr="008164D1">
          <w:rPr>
            <w:rStyle w:val="Hyperlink"/>
            <w:rFonts w:cs="Arial"/>
            <w:noProof/>
          </w:rPr>
          <w:t>Proposal 11</w:t>
        </w:r>
        <w:r w:rsidR="003872F3">
          <w:rPr>
            <w:rFonts w:asciiTheme="minorHAnsi" w:hAnsiTheme="minorHAnsi"/>
            <w:b w:val="0"/>
            <w:noProof/>
          </w:rPr>
          <w:tab/>
        </w:r>
        <w:r w:rsidR="003872F3" w:rsidRPr="008164D1">
          <w:rPr>
            <w:rStyle w:val="Hyperlink"/>
            <w:noProof/>
          </w:rPr>
          <w:t>PUCCH cell switching between</w:t>
        </w:r>
        <w:r w:rsidR="003872F3" w:rsidRPr="008164D1">
          <w:rPr>
            <w:rStyle w:val="Hyperlink"/>
            <w:rFonts w:cs="Arial"/>
            <w:noProof/>
          </w:rPr>
          <w:t xml:space="preserve"> cell with licensed spectrum and cell with shared spectrum channel access (in any mode) is supported.</w:t>
        </w:r>
      </w:hyperlink>
    </w:p>
    <w:p w14:paraId="05B7099C" w14:textId="77777777" w:rsidR="003872F3" w:rsidRDefault="0058288A">
      <w:pPr>
        <w:pStyle w:val="TableofFigures"/>
        <w:tabs>
          <w:tab w:val="right" w:leader="dot" w:pos="9629"/>
        </w:tabs>
        <w:rPr>
          <w:rFonts w:asciiTheme="minorHAnsi" w:hAnsiTheme="minorHAnsi"/>
          <w:b w:val="0"/>
          <w:noProof/>
        </w:rPr>
      </w:pPr>
      <w:hyperlink w:anchor="_Toc90912993" w:history="1">
        <w:r w:rsidR="003872F3" w:rsidRPr="008164D1">
          <w:rPr>
            <w:rStyle w:val="Hyperlink"/>
            <w:rFonts w:cs="Arial"/>
            <w:noProof/>
          </w:rPr>
          <w:t>Proposal 12</w:t>
        </w:r>
        <w:r w:rsidR="003872F3">
          <w:rPr>
            <w:rFonts w:asciiTheme="minorHAnsi" w:hAnsiTheme="minorHAnsi"/>
            <w:b w:val="0"/>
            <w:noProof/>
          </w:rPr>
          <w:tab/>
        </w:r>
        <w:r w:rsidR="003872F3" w:rsidRPr="008164D1">
          <w:rPr>
            <w:rStyle w:val="Hyperlink"/>
            <w:rFonts w:cs="Arial"/>
            <w:noProof/>
          </w:rPr>
          <w:t xml:space="preserve">The DCI size alignment handling for </w:t>
        </w:r>
        <w:r w:rsidR="003872F3" w:rsidRPr="008164D1">
          <w:rPr>
            <w:rStyle w:val="Hyperlink"/>
            <w:rFonts w:ascii="Times" w:eastAsia="Batang" w:hAnsi="Times" w:cs="Times"/>
            <w:i/>
            <w:iCs/>
            <w:noProof/>
          </w:rPr>
          <w:t>ChannelAccess-CPext</w:t>
        </w:r>
        <w:r w:rsidR="003872F3" w:rsidRPr="008164D1">
          <w:rPr>
            <w:rStyle w:val="Hyperlink"/>
            <w:rFonts w:cs="Arial"/>
            <w:noProof/>
          </w:rPr>
          <w:t xml:space="preserve"> field is based on padding ‘0’ bits to smaller field until the bit width of the field for all the PUCCH cells are the same.</w:t>
        </w:r>
      </w:hyperlink>
    </w:p>
    <w:p w14:paraId="59F86044" w14:textId="77777777" w:rsidR="003872F3" w:rsidRDefault="0058288A">
      <w:pPr>
        <w:pStyle w:val="TableofFigures"/>
        <w:tabs>
          <w:tab w:val="right" w:leader="dot" w:pos="9629"/>
        </w:tabs>
        <w:rPr>
          <w:rFonts w:asciiTheme="minorHAnsi" w:hAnsiTheme="minorHAnsi"/>
          <w:b w:val="0"/>
          <w:noProof/>
        </w:rPr>
      </w:pPr>
      <w:hyperlink w:anchor="_Toc90912994" w:history="1">
        <w:r w:rsidR="003872F3" w:rsidRPr="008164D1">
          <w:rPr>
            <w:rStyle w:val="Hyperlink"/>
            <w:rFonts w:cs="Arial"/>
            <w:noProof/>
          </w:rPr>
          <w:t>Proposal 13</w:t>
        </w:r>
        <w:r w:rsidR="003872F3">
          <w:rPr>
            <w:rFonts w:asciiTheme="minorHAnsi" w:hAnsiTheme="minorHAnsi"/>
            <w:b w:val="0"/>
            <w:noProof/>
          </w:rPr>
          <w:tab/>
        </w:r>
        <w:r w:rsidR="003872F3" w:rsidRPr="008164D1">
          <w:rPr>
            <w:rStyle w:val="Hyperlink"/>
            <w:rFonts w:cs="Arial"/>
            <w:noProof/>
          </w:rPr>
          <w:t>For semi-static PUCCH cell switching and PUCCH repetition</w:t>
        </w:r>
        <w:r w:rsidR="003872F3" w:rsidRPr="008164D1">
          <w:rPr>
            <w:rStyle w:val="Hyperlink"/>
            <w:noProof/>
          </w:rPr>
          <w:t>, the target PUCCH cell determination applies to the first PUCCH repetition and the rest of the PUCCH repetitions use the same target PUCCH cell.</w:t>
        </w:r>
      </w:hyperlink>
    </w:p>
    <w:p w14:paraId="1CC7931D" w14:textId="2891EC31" w:rsidR="006E1C82" w:rsidRPr="00CE0424" w:rsidRDefault="006E1C82" w:rsidP="006E1C82">
      <w:pPr>
        <w:pStyle w:val="BodyText"/>
        <w:rPr>
          <w:b/>
          <w:bCs/>
        </w:rPr>
      </w:pPr>
      <w:r w:rsidRPr="00EA70FE">
        <w:rPr>
          <w:b/>
          <w:bCs/>
          <w:sz w:val="18"/>
          <w:szCs w:val="18"/>
        </w:rPr>
        <w:fldChar w:fldCharType="end"/>
      </w:r>
      <w:r w:rsidRPr="00CE0424">
        <w:rPr>
          <w:b/>
          <w:bCs/>
        </w:rPr>
        <w:t xml:space="preserve"> </w:t>
      </w:r>
      <w:bookmarkStart w:id="54" w:name="_In-sequence_SDU_delivery"/>
      <w:bookmarkEnd w:id="54"/>
    </w:p>
    <w:p w14:paraId="46A60E07" w14:textId="5B430A68" w:rsidR="00F507D1" w:rsidRPr="00CE0424" w:rsidRDefault="009A4666" w:rsidP="00CE0424">
      <w:pPr>
        <w:pStyle w:val="Heading1"/>
      </w:pPr>
      <w:r>
        <w:t>4</w:t>
      </w:r>
      <w:r>
        <w:tab/>
      </w:r>
      <w:r w:rsidR="00F507D1" w:rsidRPr="00CE0424">
        <w:t>References</w:t>
      </w:r>
    </w:p>
    <w:p w14:paraId="7206F3AF" w14:textId="6CF488CE" w:rsidR="006D2E34" w:rsidRPr="007F78BE" w:rsidRDefault="006D2E34" w:rsidP="00DB380A">
      <w:pPr>
        <w:pStyle w:val="Reference"/>
        <w:rPr>
          <w:rFonts w:eastAsia="Batang"/>
          <w:sz w:val="20"/>
          <w:szCs w:val="20"/>
        </w:rPr>
      </w:pPr>
      <w:bookmarkStart w:id="55" w:name="_Ref83998908"/>
      <w:bookmarkStart w:id="56" w:name="_Ref47515547"/>
      <w:bookmarkStart w:id="57" w:name="_Ref174151459"/>
      <w:bookmarkStart w:id="58" w:name="_Ref189809556"/>
      <w:r w:rsidRPr="007F78BE">
        <w:rPr>
          <w:rFonts w:eastAsia="Batang"/>
          <w:sz w:val="20"/>
          <w:szCs w:val="20"/>
        </w:rPr>
        <w:t>R1-</w:t>
      </w:r>
      <w:r w:rsidRPr="00CD7519">
        <w:rPr>
          <w:rFonts w:eastAsia="Batang"/>
          <w:sz w:val="20"/>
          <w:szCs w:val="20"/>
        </w:rPr>
        <w:t>21</w:t>
      </w:r>
      <w:r w:rsidR="00CD7519">
        <w:rPr>
          <w:rFonts w:eastAsia="Batang"/>
          <w:sz w:val="20"/>
          <w:szCs w:val="20"/>
        </w:rPr>
        <w:t>12758</w:t>
      </w:r>
      <w:r w:rsidRPr="007F78BE">
        <w:rPr>
          <w:rFonts w:eastAsia="Batang"/>
          <w:sz w:val="20"/>
          <w:szCs w:val="20"/>
        </w:rPr>
        <w:t xml:space="preserve">, Final moderator summary on HARQ-ACK feedback enhancements for NR Rel-17 URLLC/IIoT, </w:t>
      </w:r>
      <w:r w:rsidR="00CD7519">
        <w:rPr>
          <w:rFonts w:eastAsia="Batang"/>
          <w:sz w:val="20"/>
          <w:szCs w:val="20"/>
        </w:rPr>
        <w:t>Nov</w:t>
      </w:r>
      <w:r w:rsidRPr="007F78BE">
        <w:rPr>
          <w:rFonts w:eastAsia="Batang"/>
          <w:sz w:val="20"/>
          <w:szCs w:val="20"/>
        </w:rPr>
        <w:t xml:space="preserve"> 2021.</w:t>
      </w:r>
      <w:bookmarkEnd w:id="55"/>
    </w:p>
    <w:bookmarkEnd w:id="56"/>
    <w:bookmarkEnd w:id="57"/>
    <w:bookmarkEnd w:id="58"/>
    <w:p w14:paraId="4898F6B3" w14:textId="77777777" w:rsidR="009A4666" w:rsidRPr="007F78BE" w:rsidRDefault="009A4666" w:rsidP="009A4666">
      <w:pPr>
        <w:pStyle w:val="Reference"/>
        <w:numPr>
          <w:ilvl w:val="0"/>
          <w:numId w:val="0"/>
        </w:numPr>
        <w:ind w:left="567"/>
        <w:rPr>
          <w:sz w:val="20"/>
          <w:szCs w:val="20"/>
        </w:rPr>
      </w:pPr>
    </w:p>
    <w:p w14:paraId="0A119554" w14:textId="77777777" w:rsidR="006F2112" w:rsidRPr="006F2112" w:rsidRDefault="006F2112" w:rsidP="00F0300E">
      <w:pPr>
        <w:pStyle w:val="Reference"/>
        <w:numPr>
          <w:ilvl w:val="0"/>
          <w:numId w:val="0"/>
        </w:numPr>
        <w:ind w:left="567" w:hanging="567"/>
        <w:rPr>
          <w:sz w:val="20"/>
          <w:szCs w:val="20"/>
        </w:rPr>
      </w:pPr>
    </w:p>
    <w:sectPr w:rsidR="006F2112" w:rsidRPr="006F211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E7938" w14:textId="77777777" w:rsidR="001031CE" w:rsidRDefault="001031CE">
      <w:r>
        <w:separator/>
      </w:r>
    </w:p>
  </w:endnote>
  <w:endnote w:type="continuationSeparator" w:id="0">
    <w:p w14:paraId="0B5A2478" w14:textId="77777777" w:rsidR="001031CE" w:rsidRDefault="001031CE">
      <w:r>
        <w:continuationSeparator/>
      </w:r>
    </w:p>
  </w:endnote>
  <w:endnote w:type="continuationNotice" w:id="1">
    <w:p w14:paraId="567DB038" w14:textId="77777777" w:rsidR="001031CE" w:rsidRDefault="001031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78E06" w14:textId="77777777" w:rsidR="001031CE" w:rsidRDefault="001031CE">
      <w:r>
        <w:separator/>
      </w:r>
    </w:p>
  </w:footnote>
  <w:footnote w:type="continuationSeparator" w:id="0">
    <w:p w14:paraId="6771582B" w14:textId="77777777" w:rsidR="001031CE" w:rsidRDefault="001031CE">
      <w:r>
        <w:continuationSeparator/>
      </w:r>
    </w:p>
  </w:footnote>
  <w:footnote w:type="continuationNotice" w:id="1">
    <w:p w14:paraId="5E49BFBE" w14:textId="77777777" w:rsidR="001031CE" w:rsidRDefault="001031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2"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7"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1F43C3"/>
    <w:multiLevelType w:val="hybridMultilevel"/>
    <w:tmpl w:val="B07AC4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9EF48C3"/>
    <w:multiLevelType w:val="hybridMultilevel"/>
    <w:tmpl w:val="78BE744A"/>
    <w:lvl w:ilvl="0" w:tplc="F52084F6">
      <w:start w:val="1"/>
      <w:numFmt w:val="bullet"/>
      <w:lvlText w:val=""/>
      <w:lvlJc w:val="left"/>
      <w:pPr>
        <w:tabs>
          <w:tab w:val="num" w:pos="720"/>
        </w:tabs>
        <w:ind w:left="720" w:hanging="360"/>
      </w:pPr>
      <w:rPr>
        <w:rFonts w:ascii="Symbol" w:hAnsi="Symbol" w:hint="default"/>
      </w:rPr>
    </w:lvl>
    <w:lvl w:ilvl="1" w:tplc="F52084F6">
      <w:start w:val="1"/>
      <w:numFmt w:val="bullet"/>
      <w:lvlText w:val=""/>
      <w:lvlJc w:val="left"/>
      <w:pPr>
        <w:tabs>
          <w:tab w:val="num" w:pos="360"/>
        </w:tabs>
      </w:pPr>
      <w:rPr>
        <w:rFonts w:ascii="Symbol" w:hAnsi="Symbol" w:hint="default"/>
      </w:rPr>
    </w:lvl>
    <w:lvl w:ilvl="2" w:tplc="2CF64FDA">
      <w:start w:val="1"/>
      <w:numFmt w:val="bullet"/>
      <w:lvlText w:val=""/>
      <w:lvlJc w:val="left"/>
      <w:pPr>
        <w:tabs>
          <w:tab w:val="num" w:pos="2160"/>
        </w:tabs>
        <w:ind w:left="2160" w:hanging="360"/>
      </w:pPr>
      <w:rPr>
        <w:rFonts w:ascii="Symbol" w:hAnsi="Symbol" w:hint="default"/>
      </w:rPr>
    </w:lvl>
    <w:lvl w:ilvl="3" w:tplc="D60C136A" w:tentative="1">
      <w:start w:val="1"/>
      <w:numFmt w:val="bullet"/>
      <w:lvlText w:val=""/>
      <w:lvlJc w:val="left"/>
      <w:pPr>
        <w:tabs>
          <w:tab w:val="num" w:pos="2880"/>
        </w:tabs>
        <w:ind w:left="2880" w:hanging="360"/>
      </w:pPr>
      <w:rPr>
        <w:rFonts w:ascii="Symbol" w:hAnsi="Symbol" w:hint="default"/>
      </w:rPr>
    </w:lvl>
    <w:lvl w:ilvl="4" w:tplc="3AB20B16" w:tentative="1">
      <w:start w:val="1"/>
      <w:numFmt w:val="bullet"/>
      <w:lvlText w:val=""/>
      <w:lvlJc w:val="left"/>
      <w:pPr>
        <w:tabs>
          <w:tab w:val="num" w:pos="3600"/>
        </w:tabs>
        <w:ind w:left="3600" w:hanging="360"/>
      </w:pPr>
      <w:rPr>
        <w:rFonts w:ascii="Symbol" w:hAnsi="Symbol" w:hint="default"/>
      </w:rPr>
    </w:lvl>
    <w:lvl w:ilvl="5" w:tplc="C6C28372" w:tentative="1">
      <w:start w:val="1"/>
      <w:numFmt w:val="bullet"/>
      <w:lvlText w:val=""/>
      <w:lvlJc w:val="left"/>
      <w:pPr>
        <w:tabs>
          <w:tab w:val="num" w:pos="4320"/>
        </w:tabs>
        <w:ind w:left="4320" w:hanging="360"/>
      </w:pPr>
      <w:rPr>
        <w:rFonts w:ascii="Symbol" w:hAnsi="Symbol" w:hint="default"/>
      </w:rPr>
    </w:lvl>
    <w:lvl w:ilvl="6" w:tplc="507AD702" w:tentative="1">
      <w:start w:val="1"/>
      <w:numFmt w:val="bullet"/>
      <w:lvlText w:val=""/>
      <w:lvlJc w:val="left"/>
      <w:pPr>
        <w:tabs>
          <w:tab w:val="num" w:pos="5040"/>
        </w:tabs>
        <w:ind w:left="5040" w:hanging="360"/>
      </w:pPr>
      <w:rPr>
        <w:rFonts w:ascii="Symbol" w:hAnsi="Symbol" w:hint="default"/>
      </w:rPr>
    </w:lvl>
    <w:lvl w:ilvl="7" w:tplc="1842E61C" w:tentative="1">
      <w:start w:val="1"/>
      <w:numFmt w:val="bullet"/>
      <w:lvlText w:val=""/>
      <w:lvlJc w:val="left"/>
      <w:pPr>
        <w:tabs>
          <w:tab w:val="num" w:pos="5760"/>
        </w:tabs>
        <w:ind w:left="5760" w:hanging="360"/>
      </w:pPr>
      <w:rPr>
        <w:rFonts w:ascii="Symbol" w:hAnsi="Symbol" w:hint="default"/>
      </w:rPr>
    </w:lvl>
    <w:lvl w:ilvl="8" w:tplc="836A0E6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2C36939"/>
    <w:multiLevelType w:val="hybridMultilevel"/>
    <w:tmpl w:val="16760764"/>
    <w:lvl w:ilvl="0" w:tplc="CFE63F2E">
      <w:start w:val="1"/>
      <w:numFmt w:val="bullet"/>
      <w:lvlText w:val=""/>
      <w:lvlJc w:val="left"/>
      <w:pPr>
        <w:tabs>
          <w:tab w:val="num" w:pos="720"/>
        </w:tabs>
        <w:ind w:left="720" w:hanging="360"/>
      </w:pPr>
      <w:rPr>
        <w:rFonts w:ascii="Symbol" w:hAnsi="Symbol" w:hint="default"/>
      </w:rPr>
    </w:lvl>
    <w:lvl w:ilvl="1" w:tplc="4944101A">
      <w:start w:val="1"/>
      <w:numFmt w:val="bullet"/>
      <w:lvlText w:val=""/>
      <w:lvlJc w:val="left"/>
      <w:pPr>
        <w:tabs>
          <w:tab w:val="num" w:pos="1440"/>
        </w:tabs>
        <w:ind w:left="1440" w:hanging="360"/>
      </w:pPr>
      <w:rPr>
        <w:rFonts w:ascii="Symbol" w:hAnsi="Symbol" w:hint="default"/>
      </w:rPr>
    </w:lvl>
    <w:lvl w:ilvl="2" w:tplc="1C264754" w:tentative="1">
      <w:start w:val="1"/>
      <w:numFmt w:val="bullet"/>
      <w:lvlText w:val=""/>
      <w:lvlJc w:val="left"/>
      <w:pPr>
        <w:tabs>
          <w:tab w:val="num" w:pos="2160"/>
        </w:tabs>
        <w:ind w:left="2160" w:hanging="360"/>
      </w:pPr>
      <w:rPr>
        <w:rFonts w:ascii="Symbol" w:hAnsi="Symbol" w:hint="default"/>
      </w:rPr>
    </w:lvl>
    <w:lvl w:ilvl="3" w:tplc="ADCC1356" w:tentative="1">
      <w:start w:val="1"/>
      <w:numFmt w:val="bullet"/>
      <w:lvlText w:val=""/>
      <w:lvlJc w:val="left"/>
      <w:pPr>
        <w:tabs>
          <w:tab w:val="num" w:pos="2880"/>
        </w:tabs>
        <w:ind w:left="2880" w:hanging="360"/>
      </w:pPr>
      <w:rPr>
        <w:rFonts w:ascii="Symbol" w:hAnsi="Symbol" w:hint="default"/>
      </w:rPr>
    </w:lvl>
    <w:lvl w:ilvl="4" w:tplc="48D237A6" w:tentative="1">
      <w:start w:val="1"/>
      <w:numFmt w:val="bullet"/>
      <w:lvlText w:val=""/>
      <w:lvlJc w:val="left"/>
      <w:pPr>
        <w:tabs>
          <w:tab w:val="num" w:pos="3600"/>
        </w:tabs>
        <w:ind w:left="3600" w:hanging="360"/>
      </w:pPr>
      <w:rPr>
        <w:rFonts w:ascii="Symbol" w:hAnsi="Symbol" w:hint="default"/>
      </w:rPr>
    </w:lvl>
    <w:lvl w:ilvl="5" w:tplc="670CC558" w:tentative="1">
      <w:start w:val="1"/>
      <w:numFmt w:val="bullet"/>
      <w:lvlText w:val=""/>
      <w:lvlJc w:val="left"/>
      <w:pPr>
        <w:tabs>
          <w:tab w:val="num" w:pos="4320"/>
        </w:tabs>
        <w:ind w:left="4320" w:hanging="360"/>
      </w:pPr>
      <w:rPr>
        <w:rFonts w:ascii="Symbol" w:hAnsi="Symbol" w:hint="default"/>
      </w:rPr>
    </w:lvl>
    <w:lvl w:ilvl="6" w:tplc="328A424E" w:tentative="1">
      <w:start w:val="1"/>
      <w:numFmt w:val="bullet"/>
      <w:lvlText w:val=""/>
      <w:lvlJc w:val="left"/>
      <w:pPr>
        <w:tabs>
          <w:tab w:val="num" w:pos="5040"/>
        </w:tabs>
        <w:ind w:left="5040" w:hanging="360"/>
      </w:pPr>
      <w:rPr>
        <w:rFonts w:ascii="Symbol" w:hAnsi="Symbol" w:hint="default"/>
      </w:rPr>
    </w:lvl>
    <w:lvl w:ilvl="7" w:tplc="004A4DF2" w:tentative="1">
      <w:start w:val="1"/>
      <w:numFmt w:val="bullet"/>
      <w:lvlText w:val=""/>
      <w:lvlJc w:val="left"/>
      <w:pPr>
        <w:tabs>
          <w:tab w:val="num" w:pos="5760"/>
        </w:tabs>
        <w:ind w:left="5760" w:hanging="360"/>
      </w:pPr>
      <w:rPr>
        <w:rFonts w:ascii="Symbol" w:hAnsi="Symbol" w:hint="default"/>
      </w:rPr>
    </w:lvl>
    <w:lvl w:ilvl="8" w:tplc="A95A4EE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79137E4"/>
    <w:multiLevelType w:val="hybridMultilevel"/>
    <w:tmpl w:val="CF209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9"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0"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2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9"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33601621"/>
    <w:multiLevelType w:val="hybridMultilevel"/>
    <w:tmpl w:val="3CFCFBAA"/>
    <w:lvl w:ilvl="0" w:tplc="6A2C98C2">
      <w:start w:val="1"/>
      <w:numFmt w:val="bullet"/>
      <w:lvlText w:val="●"/>
      <w:lvlJc w:val="left"/>
      <w:pPr>
        <w:tabs>
          <w:tab w:val="num" w:pos="720"/>
        </w:tabs>
        <w:ind w:left="720" w:hanging="360"/>
      </w:pPr>
      <w:rPr>
        <w:rFonts w:ascii="Ericsson Hilda" w:hAnsi="Ericsson Hilda" w:hint="default"/>
      </w:rPr>
    </w:lvl>
    <w:lvl w:ilvl="1" w:tplc="B2D62D34" w:tentative="1">
      <w:start w:val="1"/>
      <w:numFmt w:val="bullet"/>
      <w:lvlText w:val="●"/>
      <w:lvlJc w:val="left"/>
      <w:pPr>
        <w:tabs>
          <w:tab w:val="num" w:pos="1440"/>
        </w:tabs>
        <w:ind w:left="1440" w:hanging="360"/>
      </w:pPr>
      <w:rPr>
        <w:rFonts w:ascii="Ericsson Hilda" w:hAnsi="Ericsson Hilda" w:hint="default"/>
      </w:rPr>
    </w:lvl>
    <w:lvl w:ilvl="2" w:tplc="AC6E72CA" w:tentative="1">
      <w:start w:val="1"/>
      <w:numFmt w:val="bullet"/>
      <w:lvlText w:val="●"/>
      <w:lvlJc w:val="left"/>
      <w:pPr>
        <w:tabs>
          <w:tab w:val="num" w:pos="2160"/>
        </w:tabs>
        <w:ind w:left="2160" w:hanging="360"/>
      </w:pPr>
      <w:rPr>
        <w:rFonts w:ascii="Ericsson Hilda" w:hAnsi="Ericsson Hilda" w:hint="default"/>
      </w:rPr>
    </w:lvl>
    <w:lvl w:ilvl="3" w:tplc="448C2982" w:tentative="1">
      <w:start w:val="1"/>
      <w:numFmt w:val="bullet"/>
      <w:lvlText w:val="●"/>
      <w:lvlJc w:val="left"/>
      <w:pPr>
        <w:tabs>
          <w:tab w:val="num" w:pos="2880"/>
        </w:tabs>
        <w:ind w:left="2880" w:hanging="360"/>
      </w:pPr>
      <w:rPr>
        <w:rFonts w:ascii="Ericsson Hilda" w:hAnsi="Ericsson Hilda" w:hint="default"/>
      </w:rPr>
    </w:lvl>
    <w:lvl w:ilvl="4" w:tplc="D28837DC" w:tentative="1">
      <w:start w:val="1"/>
      <w:numFmt w:val="bullet"/>
      <w:lvlText w:val="●"/>
      <w:lvlJc w:val="left"/>
      <w:pPr>
        <w:tabs>
          <w:tab w:val="num" w:pos="3600"/>
        </w:tabs>
        <w:ind w:left="3600" w:hanging="360"/>
      </w:pPr>
      <w:rPr>
        <w:rFonts w:ascii="Ericsson Hilda" w:hAnsi="Ericsson Hilda" w:hint="default"/>
      </w:rPr>
    </w:lvl>
    <w:lvl w:ilvl="5" w:tplc="51547572" w:tentative="1">
      <w:start w:val="1"/>
      <w:numFmt w:val="bullet"/>
      <w:lvlText w:val="●"/>
      <w:lvlJc w:val="left"/>
      <w:pPr>
        <w:tabs>
          <w:tab w:val="num" w:pos="4320"/>
        </w:tabs>
        <w:ind w:left="4320" w:hanging="360"/>
      </w:pPr>
      <w:rPr>
        <w:rFonts w:ascii="Ericsson Hilda" w:hAnsi="Ericsson Hilda" w:hint="default"/>
      </w:rPr>
    </w:lvl>
    <w:lvl w:ilvl="6" w:tplc="17DCAF0E" w:tentative="1">
      <w:start w:val="1"/>
      <w:numFmt w:val="bullet"/>
      <w:lvlText w:val="●"/>
      <w:lvlJc w:val="left"/>
      <w:pPr>
        <w:tabs>
          <w:tab w:val="num" w:pos="5040"/>
        </w:tabs>
        <w:ind w:left="5040" w:hanging="360"/>
      </w:pPr>
      <w:rPr>
        <w:rFonts w:ascii="Ericsson Hilda" w:hAnsi="Ericsson Hilda" w:hint="default"/>
      </w:rPr>
    </w:lvl>
    <w:lvl w:ilvl="7" w:tplc="3924776C" w:tentative="1">
      <w:start w:val="1"/>
      <w:numFmt w:val="bullet"/>
      <w:lvlText w:val="●"/>
      <w:lvlJc w:val="left"/>
      <w:pPr>
        <w:tabs>
          <w:tab w:val="num" w:pos="5760"/>
        </w:tabs>
        <w:ind w:left="5760" w:hanging="360"/>
      </w:pPr>
      <w:rPr>
        <w:rFonts w:ascii="Ericsson Hilda" w:hAnsi="Ericsson Hilda" w:hint="default"/>
      </w:rPr>
    </w:lvl>
    <w:lvl w:ilvl="8" w:tplc="EF2067B4"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37AA3705"/>
    <w:multiLevelType w:val="hybridMultilevel"/>
    <w:tmpl w:val="814C9F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hybridMultilevel"/>
    <w:tmpl w:val="F7367102"/>
    <w:lvl w:ilvl="0" w:tplc="DA4671A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C0260F6"/>
    <w:multiLevelType w:val="hybridMultilevel"/>
    <w:tmpl w:val="BEA2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04B2DA3"/>
    <w:multiLevelType w:val="hybridMultilevel"/>
    <w:tmpl w:val="83C466D0"/>
    <w:lvl w:ilvl="0" w:tplc="81423ABE">
      <w:start w:val="1"/>
      <w:numFmt w:val="bullet"/>
      <w:lvlText w:val="●"/>
      <w:lvlJc w:val="left"/>
      <w:pPr>
        <w:tabs>
          <w:tab w:val="num" w:pos="720"/>
        </w:tabs>
        <w:ind w:left="720" w:hanging="360"/>
      </w:pPr>
      <w:rPr>
        <w:rFonts w:ascii="Ericsson Hilda" w:hAnsi="Ericsson Hilda" w:hint="default"/>
      </w:rPr>
    </w:lvl>
    <w:lvl w:ilvl="1" w:tplc="DE782CA4">
      <w:numFmt w:val="none"/>
      <w:lvlText w:val=""/>
      <w:lvlJc w:val="left"/>
      <w:pPr>
        <w:tabs>
          <w:tab w:val="num" w:pos="360"/>
        </w:tabs>
      </w:pPr>
    </w:lvl>
    <w:lvl w:ilvl="2" w:tplc="EB26CEEE">
      <w:start w:val="1"/>
      <w:numFmt w:val="bullet"/>
      <w:lvlText w:val="●"/>
      <w:lvlJc w:val="left"/>
      <w:pPr>
        <w:tabs>
          <w:tab w:val="num" w:pos="2160"/>
        </w:tabs>
        <w:ind w:left="2160" w:hanging="360"/>
      </w:pPr>
      <w:rPr>
        <w:rFonts w:ascii="Ericsson Hilda" w:hAnsi="Ericsson Hilda" w:hint="default"/>
      </w:rPr>
    </w:lvl>
    <w:lvl w:ilvl="3" w:tplc="B68C8B84">
      <w:start w:val="2"/>
      <w:numFmt w:val="bullet"/>
      <w:lvlText w:val="-"/>
      <w:lvlJc w:val="left"/>
      <w:pPr>
        <w:ind w:left="2880" w:hanging="360"/>
      </w:pPr>
      <w:rPr>
        <w:rFonts w:ascii="Calibri" w:eastAsiaTheme="minorHAnsi" w:hAnsi="Calibri" w:cs="Calibri" w:hint="default"/>
      </w:rPr>
    </w:lvl>
    <w:lvl w:ilvl="4" w:tplc="2FEA704E" w:tentative="1">
      <w:start w:val="1"/>
      <w:numFmt w:val="bullet"/>
      <w:lvlText w:val="●"/>
      <w:lvlJc w:val="left"/>
      <w:pPr>
        <w:tabs>
          <w:tab w:val="num" w:pos="3600"/>
        </w:tabs>
        <w:ind w:left="3600" w:hanging="360"/>
      </w:pPr>
      <w:rPr>
        <w:rFonts w:ascii="Ericsson Hilda" w:hAnsi="Ericsson Hilda" w:hint="default"/>
      </w:rPr>
    </w:lvl>
    <w:lvl w:ilvl="5" w:tplc="0296A44C" w:tentative="1">
      <w:start w:val="1"/>
      <w:numFmt w:val="bullet"/>
      <w:lvlText w:val="●"/>
      <w:lvlJc w:val="left"/>
      <w:pPr>
        <w:tabs>
          <w:tab w:val="num" w:pos="4320"/>
        </w:tabs>
        <w:ind w:left="4320" w:hanging="360"/>
      </w:pPr>
      <w:rPr>
        <w:rFonts w:ascii="Ericsson Hilda" w:hAnsi="Ericsson Hilda" w:hint="default"/>
      </w:rPr>
    </w:lvl>
    <w:lvl w:ilvl="6" w:tplc="A956F1D2" w:tentative="1">
      <w:start w:val="1"/>
      <w:numFmt w:val="bullet"/>
      <w:lvlText w:val="●"/>
      <w:lvlJc w:val="left"/>
      <w:pPr>
        <w:tabs>
          <w:tab w:val="num" w:pos="5040"/>
        </w:tabs>
        <w:ind w:left="5040" w:hanging="360"/>
      </w:pPr>
      <w:rPr>
        <w:rFonts w:ascii="Ericsson Hilda" w:hAnsi="Ericsson Hilda" w:hint="default"/>
      </w:rPr>
    </w:lvl>
    <w:lvl w:ilvl="7" w:tplc="CDEA039E" w:tentative="1">
      <w:start w:val="1"/>
      <w:numFmt w:val="bullet"/>
      <w:lvlText w:val="●"/>
      <w:lvlJc w:val="left"/>
      <w:pPr>
        <w:tabs>
          <w:tab w:val="num" w:pos="5760"/>
        </w:tabs>
        <w:ind w:left="5760" w:hanging="360"/>
      </w:pPr>
      <w:rPr>
        <w:rFonts w:ascii="Ericsson Hilda" w:hAnsi="Ericsson Hilda" w:hint="default"/>
      </w:rPr>
    </w:lvl>
    <w:lvl w:ilvl="8" w:tplc="082034F8"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424629F9"/>
    <w:multiLevelType w:val="hybridMultilevel"/>
    <w:tmpl w:val="EEA4BADC"/>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53" w15:restartNumberingAfterBreak="0">
    <w:nsid w:val="5101505E"/>
    <w:multiLevelType w:val="hybridMultilevel"/>
    <w:tmpl w:val="E2C43A0C"/>
    <w:lvl w:ilvl="0" w:tplc="4B86B3E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3604878"/>
    <w:multiLevelType w:val="multilevel"/>
    <w:tmpl w:val="DC4CEA82"/>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60" w15:restartNumberingAfterBreak="0">
    <w:nsid w:val="5987517F"/>
    <w:multiLevelType w:val="hybridMultilevel"/>
    <w:tmpl w:val="96F49FAC"/>
    <w:lvl w:ilvl="0" w:tplc="3560F51A">
      <w:start w:val="1"/>
      <w:numFmt w:val="bullet"/>
      <w:lvlText w:val="o"/>
      <w:lvlJc w:val="left"/>
      <w:pPr>
        <w:tabs>
          <w:tab w:val="num" w:pos="720"/>
        </w:tabs>
        <w:ind w:left="720" w:hanging="360"/>
      </w:pPr>
      <w:rPr>
        <w:rFonts w:ascii="Courier New" w:hAnsi="Courier New" w:hint="default"/>
      </w:rPr>
    </w:lvl>
    <w:lvl w:ilvl="1" w:tplc="6CCEA948">
      <w:numFmt w:val="none"/>
      <w:lvlText w:val=""/>
      <w:lvlJc w:val="left"/>
      <w:pPr>
        <w:tabs>
          <w:tab w:val="num" w:pos="360"/>
        </w:tabs>
      </w:pPr>
    </w:lvl>
    <w:lvl w:ilvl="2" w:tplc="B9BAC9D4" w:tentative="1">
      <w:start w:val="1"/>
      <w:numFmt w:val="bullet"/>
      <w:lvlText w:val="o"/>
      <w:lvlJc w:val="left"/>
      <w:pPr>
        <w:tabs>
          <w:tab w:val="num" w:pos="2160"/>
        </w:tabs>
        <w:ind w:left="2160" w:hanging="360"/>
      </w:pPr>
      <w:rPr>
        <w:rFonts w:ascii="Courier New" w:hAnsi="Courier New" w:hint="default"/>
      </w:rPr>
    </w:lvl>
    <w:lvl w:ilvl="3" w:tplc="6CBE4102" w:tentative="1">
      <w:start w:val="1"/>
      <w:numFmt w:val="bullet"/>
      <w:lvlText w:val="o"/>
      <w:lvlJc w:val="left"/>
      <w:pPr>
        <w:tabs>
          <w:tab w:val="num" w:pos="2880"/>
        </w:tabs>
        <w:ind w:left="2880" w:hanging="360"/>
      </w:pPr>
      <w:rPr>
        <w:rFonts w:ascii="Courier New" w:hAnsi="Courier New" w:hint="default"/>
      </w:rPr>
    </w:lvl>
    <w:lvl w:ilvl="4" w:tplc="38244F30" w:tentative="1">
      <w:start w:val="1"/>
      <w:numFmt w:val="bullet"/>
      <w:lvlText w:val="o"/>
      <w:lvlJc w:val="left"/>
      <w:pPr>
        <w:tabs>
          <w:tab w:val="num" w:pos="3600"/>
        </w:tabs>
        <w:ind w:left="3600" w:hanging="360"/>
      </w:pPr>
      <w:rPr>
        <w:rFonts w:ascii="Courier New" w:hAnsi="Courier New" w:hint="default"/>
      </w:rPr>
    </w:lvl>
    <w:lvl w:ilvl="5" w:tplc="5D54D406" w:tentative="1">
      <w:start w:val="1"/>
      <w:numFmt w:val="bullet"/>
      <w:lvlText w:val="o"/>
      <w:lvlJc w:val="left"/>
      <w:pPr>
        <w:tabs>
          <w:tab w:val="num" w:pos="4320"/>
        </w:tabs>
        <w:ind w:left="4320" w:hanging="360"/>
      </w:pPr>
      <w:rPr>
        <w:rFonts w:ascii="Courier New" w:hAnsi="Courier New" w:hint="default"/>
      </w:rPr>
    </w:lvl>
    <w:lvl w:ilvl="6" w:tplc="70D4FBAE" w:tentative="1">
      <w:start w:val="1"/>
      <w:numFmt w:val="bullet"/>
      <w:lvlText w:val="o"/>
      <w:lvlJc w:val="left"/>
      <w:pPr>
        <w:tabs>
          <w:tab w:val="num" w:pos="5040"/>
        </w:tabs>
        <w:ind w:left="5040" w:hanging="360"/>
      </w:pPr>
      <w:rPr>
        <w:rFonts w:ascii="Courier New" w:hAnsi="Courier New" w:hint="default"/>
      </w:rPr>
    </w:lvl>
    <w:lvl w:ilvl="7" w:tplc="0B2254D8" w:tentative="1">
      <w:start w:val="1"/>
      <w:numFmt w:val="bullet"/>
      <w:lvlText w:val="o"/>
      <w:lvlJc w:val="left"/>
      <w:pPr>
        <w:tabs>
          <w:tab w:val="num" w:pos="5760"/>
        </w:tabs>
        <w:ind w:left="5760" w:hanging="360"/>
      </w:pPr>
      <w:rPr>
        <w:rFonts w:ascii="Courier New" w:hAnsi="Courier New" w:hint="default"/>
      </w:rPr>
    </w:lvl>
    <w:lvl w:ilvl="8" w:tplc="4DA05962" w:tentative="1">
      <w:start w:val="1"/>
      <w:numFmt w:val="bullet"/>
      <w:lvlText w:val="o"/>
      <w:lvlJc w:val="left"/>
      <w:pPr>
        <w:tabs>
          <w:tab w:val="num" w:pos="6480"/>
        </w:tabs>
        <w:ind w:left="6480" w:hanging="360"/>
      </w:pPr>
      <w:rPr>
        <w:rFonts w:ascii="Courier New" w:hAnsi="Courier New" w:hint="default"/>
      </w:rPr>
    </w:lvl>
  </w:abstractNum>
  <w:abstractNum w:abstractNumId="61"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63406285"/>
    <w:multiLevelType w:val="hybridMultilevel"/>
    <w:tmpl w:val="C578136C"/>
    <w:lvl w:ilvl="0" w:tplc="4A425850">
      <w:start w:val="2"/>
      <w:numFmt w:val="bullet"/>
      <w:lvlText w:val="-"/>
      <w:lvlJc w:val="left"/>
      <w:pPr>
        <w:ind w:left="720" w:hanging="360"/>
      </w:pPr>
      <w:rPr>
        <w:rFonts w:ascii="Times New Roman" w:eastAsiaTheme="minorHAnsi" w:hAnsi="Times New Roman" w:cs="Times New Roman" w:hint="default"/>
      </w:rPr>
    </w:lvl>
    <w:lvl w:ilvl="1" w:tplc="4A425850">
      <w:start w:val="2"/>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544F86"/>
    <w:multiLevelType w:val="hybridMultilevel"/>
    <w:tmpl w:val="292CF7A0"/>
    <w:lvl w:ilvl="0" w:tplc="46BAD21C">
      <w:start w:val="1"/>
      <w:numFmt w:val="bullet"/>
      <w:lvlText w:val=""/>
      <w:lvlJc w:val="left"/>
      <w:pPr>
        <w:tabs>
          <w:tab w:val="num" w:pos="720"/>
        </w:tabs>
        <w:ind w:left="720" w:hanging="360"/>
      </w:pPr>
      <w:rPr>
        <w:rFonts w:ascii="Symbol" w:hAnsi="Symbol" w:hint="default"/>
      </w:rPr>
    </w:lvl>
    <w:lvl w:ilvl="1" w:tplc="37DEB812" w:tentative="1">
      <w:start w:val="1"/>
      <w:numFmt w:val="bullet"/>
      <w:lvlText w:val=""/>
      <w:lvlJc w:val="left"/>
      <w:pPr>
        <w:tabs>
          <w:tab w:val="num" w:pos="1440"/>
        </w:tabs>
        <w:ind w:left="1440" w:hanging="360"/>
      </w:pPr>
      <w:rPr>
        <w:rFonts w:ascii="Symbol" w:hAnsi="Symbol" w:hint="default"/>
      </w:rPr>
    </w:lvl>
    <w:lvl w:ilvl="2" w:tplc="31DE9B7A" w:tentative="1">
      <w:start w:val="1"/>
      <w:numFmt w:val="bullet"/>
      <w:lvlText w:val=""/>
      <w:lvlJc w:val="left"/>
      <w:pPr>
        <w:tabs>
          <w:tab w:val="num" w:pos="2160"/>
        </w:tabs>
        <w:ind w:left="2160" w:hanging="360"/>
      </w:pPr>
      <w:rPr>
        <w:rFonts w:ascii="Symbol" w:hAnsi="Symbol" w:hint="default"/>
      </w:rPr>
    </w:lvl>
    <w:lvl w:ilvl="3" w:tplc="40D2037E" w:tentative="1">
      <w:start w:val="1"/>
      <w:numFmt w:val="bullet"/>
      <w:lvlText w:val=""/>
      <w:lvlJc w:val="left"/>
      <w:pPr>
        <w:tabs>
          <w:tab w:val="num" w:pos="2880"/>
        </w:tabs>
        <w:ind w:left="2880" w:hanging="360"/>
      </w:pPr>
      <w:rPr>
        <w:rFonts w:ascii="Symbol" w:hAnsi="Symbol" w:hint="default"/>
      </w:rPr>
    </w:lvl>
    <w:lvl w:ilvl="4" w:tplc="6F08F604" w:tentative="1">
      <w:start w:val="1"/>
      <w:numFmt w:val="bullet"/>
      <w:lvlText w:val=""/>
      <w:lvlJc w:val="left"/>
      <w:pPr>
        <w:tabs>
          <w:tab w:val="num" w:pos="3600"/>
        </w:tabs>
        <w:ind w:left="3600" w:hanging="360"/>
      </w:pPr>
      <w:rPr>
        <w:rFonts w:ascii="Symbol" w:hAnsi="Symbol" w:hint="default"/>
      </w:rPr>
    </w:lvl>
    <w:lvl w:ilvl="5" w:tplc="A52E4514" w:tentative="1">
      <w:start w:val="1"/>
      <w:numFmt w:val="bullet"/>
      <w:lvlText w:val=""/>
      <w:lvlJc w:val="left"/>
      <w:pPr>
        <w:tabs>
          <w:tab w:val="num" w:pos="4320"/>
        </w:tabs>
        <w:ind w:left="4320" w:hanging="360"/>
      </w:pPr>
      <w:rPr>
        <w:rFonts w:ascii="Symbol" w:hAnsi="Symbol" w:hint="default"/>
      </w:rPr>
    </w:lvl>
    <w:lvl w:ilvl="6" w:tplc="63E0DD6A" w:tentative="1">
      <w:start w:val="1"/>
      <w:numFmt w:val="bullet"/>
      <w:lvlText w:val=""/>
      <w:lvlJc w:val="left"/>
      <w:pPr>
        <w:tabs>
          <w:tab w:val="num" w:pos="5040"/>
        </w:tabs>
        <w:ind w:left="5040" w:hanging="360"/>
      </w:pPr>
      <w:rPr>
        <w:rFonts w:ascii="Symbol" w:hAnsi="Symbol" w:hint="default"/>
      </w:rPr>
    </w:lvl>
    <w:lvl w:ilvl="7" w:tplc="D16C97D8" w:tentative="1">
      <w:start w:val="1"/>
      <w:numFmt w:val="bullet"/>
      <w:lvlText w:val=""/>
      <w:lvlJc w:val="left"/>
      <w:pPr>
        <w:tabs>
          <w:tab w:val="num" w:pos="5760"/>
        </w:tabs>
        <w:ind w:left="5760" w:hanging="360"/>
      </w:pPr>
      <w:rPr>
        <w:rFonts w:ascii="Symbol" w:hAnsi="Symbol" w:hint="default"/>
      </w:rPr>
    </w:lvl>
    <w:lvl w:ilvl="8" w:tplc="BAB0875E"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C3612AD"/>
    <w:multiLevelType w:val="hybridMultilevel"/>
    <w:tmpl w:val="6ACA56EE"/>
    <w:lvl w:ilvl="0" w:tplc="4A425850">
      <w:start w:val="2"/>
      <w:numFmt w:val="bullet"/>
      <w:lvlText w:val="-"/>
      <w:lvlJc w:val="left"/>
      <w:pPr>
        <w:ind w:left="720" w:hanging="360"/>
      </w:pPr>
      <w:rPr>
        <w:rFonts w:ascii="Times New Roman" w:eastAsiaTheme="minorHAnsi" w:hAnsi="Times New Roman" w:cs="Times New Roman" w:hint="default"/>
      </w:rPr>
    </w:lvl>
    <w:lvl w:ilvl="1" w:tplc="4A425850">
      <w:start w:val="2"/>
      <w:numFmt w:val="bullet"/>
      <w:lvlText w:val="-"/>
      <w:lvlJc w:val="left"/>
      <w:pPr>
        <w:ind w:left="1440" w:hanging="360"/>
      </w:pPr>
      <w:rPr>
        <w:rFonts w:ascii="Times New Roman" w:eastAsiaTheme="minorHAns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1" w15:restartNumberingAfterBreak="0">
    <w:nsid w:val="71C84506"/>
    <w:multiLevelType w:val="hybridMultilevel"/>
    <w:tmpl w:val="5B5E9894"/>
    <w:lvl w:ilvl="0" w:tplc="901E4CC4">
      <w:start w:val="1"/>
      <w:numFmt w:val="decimal"/>
      <w:lvlText w:val="Observation %1"/>
      <w:lvlJc w:val="left"/>
      <w:pPr>
        <w:ind w:left="360" w:hanging="360"/>
      </w:pPr>
      <w:rPr>
        <w:rFonts w:hint="default"/>
      </w:rPr>
    </w:lvl>
    <w:lvl w:ilvl="1" w:tplc="041D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4" w15:restartNumberingAfterBreak="0">
    <w:nsid w:val="77C75766"/>
    <w:multiLevelType w:val="hybridMultilevel"/>
    <w:tmpl w:val="4D24D9D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C5512B1"/>
    <w:multiLevelType w:val="hybridMultilevel"/>
    <w:tmpl w:val="6CB4A35C"/>
    <w:lvl w:ilvl="0" w:tplc="7FA68624">
      <w:start w:val="1"/>
      <w:numFmt w:val="bullet"/>
      <w:lvlText w:val="●"/>
      <w:lvlJc w:val="left"/>
      <w:pPr>
        <w:tabs>
          <w:tab w:val="num" w:pos="720"/>
        </w:tabs>
        <w:ind w:left="720" w:hanging="360"/>
      </w:pPr>
      <w:rPr>
        <w:rFonts w:ascii="Ericsson Hilda" w:hAnsi="Ericsson Hilda" w:hint="default"/>
      </w:rPr>
    </w:lvl>
    <w:lvl w:ilvl="1" w:tplc="AE7AFFD6">
      <w:start w:val="1"/>
      <w:numFmt w:val="bullet"/>
      <w:lvlText w:val="●"/>
      <w:lvlJc w:val="left"/>
      <w:pPr>
        <w:tabs>
          <w:tab w:val="num" w:pos="1440"/>
        </w:tabs>
        <w:ind w:left="1440" w:hanging="360"/>
      </w:pPr>
      <w:rPr>
        <w:rFonts w:ascii="Ericsson Hilda" w:hAnsi="Ericsson Hilda" w:hint="default"/>
      </w:rPr>
    </w:lvl>
    <w:lvl w:ilvl="2" w:tplc="43EAD3E8">
      <w:start w:val="29045"/>
      <w:numFmt w:val="bullet"/>
      <w:lvlText w:val="●"/>
      <w:lvlJc w:val="left"/>
      <w:pPr>
        <w:tabs>
          <w:tab w:val="num" w:pos="2160"/>
        </w:tabs>
        <w:ind w:left="2160" w:hanging="360"/>
      </w:pPr>
      <w:rPr>
        <w:rFonts w:ascii="Ericsson Hilda" w:hAnsi="Ericsson Hilda" w:hint="default"/>
      </w:rPr>
    </w:lvl>
    <w:lvl w:ilvl="3" w:tplc="1A9E76A0">
      <w:start w:val="29045"/>
      <w:numFmt w:val="bullet"/>
      <w:lvlText w:val="●"/>
      <w:lvlJc w:val="left"/>
      <w:pPr>
        <w:tabs>
          <w:tab w:val="num" w:pos="2880"/>
        </w:tabs>
        <w:ind w:left="2880" w:hanging="360"/>
      </w:pPr>
      <w:rPr>
        <w:rFonts w:ascii="Ericsson Hilda" w:hAnsi="Ericsson Hilda" w:hint="default"/>
      </w:rPr>
    </w:lvl>
    <w:lvl w:ilvl="4" w:tplc="6DEA18E4">
      <w:start w:val="29045"/>
      <w:numFmt w:val="bullet"/>
      <w:lvlText w:val="●"/>
      <w:lvlJc w:val="left"/>
      <w:pPr>
        <w:tabs>
          <w:tab w:val="num" w:pos="3600"/>
        </w:tabs>
        <w:ind w:left="3600" w:hanging="360"/>
      </w:pPr>
      <w:rPr>
        <w:rFonts w:ascii="Ericsson Hilda" w:hAnsi="Ericsson Hilda" w:hint="default"/>
      </w:rPr>
    </w:lvl>
    <w:lvl w:ilvl="5" w:tplc="3CFAA0A8" w:tentative="1">
      <w:start w:val="1"/>
      <w:numFmt w:val="bullet"/>
      <w:lvlText w:val="●"/>
      <w:lvlJc w:val="left"/>
      <w:pPr>
        <w:tabs>
          <w:tab w:val="num" w:pos="4320"/>
        </w:tabs>
        <w:ind w:left="4320" w:hanging="360"/>
      </w:pPr>
      <w:rPr>
        <w:rFonts w:ascii="Ericsson Hilda" w:hAnsi="Ericsson Hilda" w:hint="default"/>
      </w:rPr>
    </w:lvl>
    <w:lvl w:ilvl="6" w:tplc="C474510C" w:tentative="1">
      <w:start w:val="1"/>
      <w:numFmt w:val="bullet"/>
      <w:lvlText w:val="●"/>
      <w:lvlJc w:val="left"/>
      <w:pPr>
        <w:tabs>
          <w:tab w:val="num" w:pos="5040"/>
        </w:tabs>
        <w:ind w:left="5040" w:hanging="360"/>
      </w:pPr>
      <w:rPr>
        <w:rFonts w:ascii="Ericsson Hilda" w:hAnsi="Ericsson Hilda" w:hint="default"/>
      </w:rPr>
    </w:lvl>
    <w:lvl w:ilvl="7" w:tplc="CBC84180" w:tentative="1">
      <w:start w:val="1"/>
      <w:numFmt w:val="bullet"/>
      <w:lvlText w:val="●"/>
      <w:lvlJc w:val="left"/>
      <w:pPr>
        <w:tabs>
          <w:tab w:val="num" w:pos="5760"/>
        </w:tabs>
        <w:ind w:left="5760" w:hanging="360"/>
      </w:pPr>
      <w:rPr>
        <w:rFonts w:ascii="Ericsson Hilda" w:hAnsi="Ericsson Hilda" w:hint="default"/>
      </w:rPr>
    </w:lvl>
    <w:lvl w:ilvl="8" w:tplc="4FA6E91C" w:tentative="1">
      <w:start w:val="1"/>
      <w:numFmt w:val="bullet"/>
      <w:lvlText w:val="●"/>
      <w:lvlJc w:val="left"/>
      <w:pPr>
        <w:tabs>
          <w:tab w:val="num" w:pos="6480"/>
        </w:tabs>
        <w:ind w:left="6480" w:hanging="360"/>
      </w:pPr>
      <w:rPr>
        <w:rFonts w:ascii="Ericsson Hilda" w:hAnsi="Ericsson Hilda" w:hint="default"/>
      </w:rPr>
    </w:lvl>
  </w:abstractNum>
  <w:abstractNum w:abstractNumId="76"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77"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0"/>
  </w:num>
  <w:num w:numId="2">
    <w:abstractNumId w:val="40"/>
  </w:num>
  <w:num w:numId="3">
    <w:abstractNumId w:val="0"/>
  </w:num>
  <w:num w:numId="4">
    <w:abstractNumId w:val="53"/>
  </w:num>
  <w:num w:numId="5">
    <w:abstractNumId w:val="54"/>
  </w:num>
  <w:num w:numId="6">
    <w:abstractNumId w:val="63"/>
  </w:num>
  <w:num w:numId="7">
    <w:abstractNumId w:val="21"/>
  </w:num>
  <w:num w:numId="8">
    <w:abstractNumId w:val="25"/>
  </w:num>
  <w:num w:numId="9">
    <w:abstractNumId w:val="11"/>
  </w:num>
  <w:num w:numId="10">
    <w:abstractNumId w:val="73"/>
  </w:num>
  <w:num w:numId="11">
    <w:abstractNumId w:val="32"/>
  </w:num>
  <w:num w:numId="12">
    <w:abstractNumId w:val="70"/>
  </w:num>
  <w:num w:numId="13">
    <w:abstractNumId w:val="76"/>
  </w:num>
  <w:num w:numId="14">
    <w:abstractNumId w:val="1"/>
  </w:num>
  <w:num w:numId="15">
    <w:abstractNumId w:val="52"/>
  </w:num>
  <w:num w:numId="16">
    <w:abstractNumId w:val="3"/>
  </w:num>
  <w:num w:numId="17">
    <w:abstractNumId w:val="18"/>
  </w:num>
  <w:num w:numId="18">
    <w:abstractNumId w:val="24"/>
  </w:num>
  <w:num w:numId="19">
    <w:abstractNumId w:val="72"/>
  </w:num>
  <w:num w:numId="20">
    <w:abstractNumId w:val="22"/>
  </w:num>
  <w:num w:numId="21">
    <w:abstractNumId w:val="66"/>
  </w:num>
  <w:num w:numId="22">
    <w:abstractNumId w:val="42"/>
  </w:num>
  <w:num w:numId="23">
    <w:abstractNumId w:val="14"/>
  </w:num>
  <w:num w:numId="24">
    <w:abstractNumId w:val="39"/>
  </w:num>
  <w:num w:numId="25">
    <w:abstractNumId w:val="10"/>
  </w:num>
  <w:num w:numId="26">
    <w:abstractNumId w:val="26"/>
  </w:num>
  <w:num w:numId="27">
    <w:abstractNumId w:val="68"/>
  </w:num>
  <w:num w:numId="2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69"/>
  </w:num>
  <w:num w:numId="31">
    <w:abstractNumId w:val="64"/>
  </w:num>
  <w:num w:numId="32">
    <w:abstractNumId w:val="58"/>
  </w:num>
  <w:num w:numId="33">
    <w:abstractNumId w:val="6"/>
  </w:num>
  <w:num w:numId="34">
    <w:abstractNumId w:val="4"/>
  </w:num>
  <w:num w:numId="35">
    <w:abstractNumId w:val="30"/>
  </w:num>
  <w:num w:numId="36">
    <w:abstractNumId w:val="5"/>
  </w:num>
  <w:num w:numId="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77"/>
  </w:num>
  <w:num w:numId="40">
    <w:abstractNumId w:val="56"/>
  </w:num>
  <w:num w:numId="41">
    <w:abstractNumId w:val="47"/>
  </w:num>
  <w:num w:numId="42">
    <w:abstractNumId w:val="13"/>
  </w:num>
  <w:num w:numId="43">
    <w:abstractNumId w:val="27"/>
  </w:num>
  <w:num w:numId="44">
    <w:abstractNumId w:val="43"/>
  </w:num>
  <w:num w:numId="45">
    <w:abstractNumId w:val="41"/>
  </w:num>
  <w:num w:numId="46">
    <w:abstractNumId w:val="49"/>
  </w:num>
  <w:num w:numId="47">
    <w:abstractNumId w:val="46"/>
  </w:num>
  <w:num w:numId="48">
    <w:abstractNumId w:val="71"/>
  </w:num>
  <w:num w:numId="49">
    <w:abstractNumId w:val="8"/>
  </w:num>
  <w:num w:numId="50">
    <w:abstractNumId w:val="35"/>
  </w:num>
  <w:num w:numId="51">
    <w:abstractNumId w:val="44"/>
  </w:num>
  <w:num w:numId="52">
    <w:abstractNumId w:val="28"/>
  </w:num>
  <w:num w:numId="53">
    <w:abstractNumId w:val="57"/>
  </w:num>
  <w:num w:numId="54">
    <w:abstractNumId w:val="65"/>
  </w:num>
  <w:num w:numId="55">
    <w:abstractNumId w:val="31"/>
  </w:num>
  <w:num w:numId="56">
    <w:abstractNumId w:val="29"/>
  </w:num>
  <w:num w:numId="57">
    <w:abstractNumId w:val="9"/>
  </w:num>
  <w:num w:numId="58">
    <w:abstractNumId w:val="12"/>
  </w:num>
  <w:num w:numId="59">
    <w:abstractNumId w:val="60"/>
  </w:num>
  <w:num w:numId="60">
    <w:abstractNumId w:val="45"/>
  </w:num>
  <w:num w:numId="61">
    <w:abstractNumId w:val="67"/>
  </w:num>
  <w:num w:numId="62">
    <w:abstractNumId w:val="51"/>
  </w:num>
  <w:num w:numId="63">
    <w:abstractNumId w:val="55"/>
  </w:num>
  <w:num w:numId="64">
    <w:abstractNumId w:val="20"/>
  </w:num>
  <w:num w:numId="65">
    <w:abstractNumId w:val="23"/>
  </w:num>
  <w:num w:numId="66">
    <w:abstractNumId w:val="15"/>
  </w:num>
  <w:num w:numId="67">
    <w:abstractNumId w:val="36"/>
  </w:num>
  <w:num w:numId="68">
    <w:abstractNumId w:val="59"/>
  </w:num>
  <w:num w:numId="69">
    <w:abstractNumId w:val="16"/>
  </w:num>
  <w:num w:numId="70">
    <w:abstractNumId w:val="19"/>
  </w:num>
  <w:num w:numId="71">
    <w:abstractNumId w:val="48"/>
  </w:num>
  <w:num w:numId="72">
    <w:abstractNumId w:val="2"/>
  </w:num>
  <w:num w:numId="73">
    <w:abstractNumId w:val="38"/>
  </w:num>
  <w:num w:numId="74">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5">
    <w:abstractNumId w:val="62"/>
  </w:num>
  <w:num w:numId="76">
    <w:abstractNumId w:val="34"/>
  </w:num>
  <w:num w:numId="77">
    <w:abstractNumId w:val="33"/>
  </w:num>
  <w:num w:numId="78">
    <w:abstractNumId w:val="17"/>
  </w:num>
  <w:num w:numId="79">
    <w:abstractNumId w:val="7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675"/>
    <w:rsid w:val="00002A37"/>
    <w:rsid w:val="00002D1F"/>
    <w:rsid w:val="000034F1"/>
    <w:rsid w:val="000036A1"/>
    <w:rsid w:val="0000406A"/>
    <w:rsid w:val="0000564C"/>
    <w:rsid w:val="0000596F"/>
    <w:rsid w:val="00005AA3"/>
    <w:rsid w:val="00006446"/>
    <w:rsid w:val="00006896"/>
    <w:rsid w:val="0000702B"/>
    <w:rsid w:val="00007CDC"/>
    <w:rsid w:val="00011434"/>
    <w:rsid w:val="0001149A"/>
    <w:rsid w:val="00011B28"/>
    <w:rsid w:val="00011C1C"/>
    <w:rsid w:val="00012178"/>
    <w:rsid w:val="000123A6"/>
    <w:rsid w:val="0001268E"/>
    <w:rsid w:val="0001346B"/>
    <w:rsid w:val="00014C01"/>
    <w:rsid w:val="00015773"/>
    <w:rsid w:val="00015D15"/>
    <w:rsid w:val="0001697B"/>
    <w:rsid w:val="00016A53"/>
    <w:rsid w:val="00017BA1"/>
    <w:rsid w:val="00020614"/>
    <w:rsid w:val="0002082D"/>
    <w:rsid w:val="000218E7"/>
    <w:rsid w:val="00022723"/>
    <w:rsid w:val="00024EAF"/>
    <w:rsid w:val="0002564D"/>
    <w:rsid w:val="00025985"/>
    <w:rsid w:val="00025ECA"/>
    <w:rsid w:val="00025F6A"/>
    <w:rsid w:val="000271D6"/>
    <w:rsid w:val="000314EA"/>
    <w:rsid w:val="0003175A"/>
    <w:rsid w:val="00031CD8"/>
    <w:rsid w:val="000324E0"/>
    <w:rsid w:val="000325B8"/>
    <w:rsid w:val="00032D70"/>
    <w:rsid w:val="00034A4F"/>
    <w:rsid w:val="00034C15"/>
    <w:rsid w:val="00034F56"/>
    <w:rsid w:val="00035BB8"/>
    <w:rsid w:val="00036BA1"/>
    <w:rsid w:val="00037B07"/>
    <w:rsid w:val="00037BAB"/>
    <w:rsid w:val="0004127F"/>
    <w:rsid w:val="000421B4"/>
    <w:rsid w:val="000422E2"/>
    <w:rsid w:val="000426BA"/>
    <w:rsid w:val="000426EA"/>
    <w:rsid w:val="00042F22"/>
    <w:rsid w:val="00043854"/>
    <w:rsid w:val="000439B2"/>
    <w:rsid w:val="000444EF"/>
    <w:rsid w:val="00044DFA"/>
    <w:rsid w:val="00044F26"/>
    <w:rsid w:val="000451BB"/>
    <w:rsid w:val="000457F4"/>
    <w:rsid w:val="000465D4"/>
    <w:rsid w:val="00047914"/>
    <w:rsid w:val="0005118C"/>
    <w:rsid w:val="00052A07"/>
    <w:rsid w:val="00053006"/>
    <w:rsid w:val="000534E3"/>
    <w:rsid w:val="00053718"/>
    <w:rsid w:val="00053CF7"/>
    <w:rsid w:val="00053D0E"/>
    <w:rsid w:val="00053ED8"/>
    <w:rsid w:val="000544A3"/>
    <w:rsid w:val="000544E0"/>
    <w:rsid w:val="000549C2"/>
    <w:rsid w:val="00055722"/>
    <w:rsid w:val="0005606A"/>
    <w:rsid w:val="000566ED"/>
    <w:rsid w:val="00057117"/>
    <w:rsid w:val="000578C7"/>
    <w:rsid w:val="00057AA8"/>
    <w:rsid w:val="000603B7"/>
    <w:rsid w:val="0006054D"/>
    <w:rsid w:val="000616E7"/>
    <w:rsid w:val="000621D7"/>
    <w:rsid w:val="00062B22"/>
    <w:rsid w:val="000636D1"/>
    <w:rsid w:val="0006459B"/>
    <w:rsid w:val="00064620"/>
    <w:rsid w:val="0006487E"/>
    <w:rsid w:val="00064A30"/>
    <w:rsid w:val="0006549B"/>
    <w:rsid w:val="00065524"/>
    <w:rsid w:val="00065E1A"/>
    <w:rsid w:val="00066855"/>
    <w:rsid w:val="00067154"/>
    <w:rsid w:val="00070183"/>
    <w:rsid w:val="00070AB7"/>
    <w:rsid w:val="0007103E"/>
    <w:rsid w:val="000716FA"/>
    <w:rsid w:val="0007255C"/>
    <w:rsid w:val="000729FE"/>
    <w:rsid w:val="00074031"/>
    <w:rsid w:val="000745CE"/>
    <w:rsid w:val="00074835"/>
    <w:rsid w:val="000754A1"/>
    <w:rsid w:val="00075525"/>
    <w:rsid w:val="000759F5"/>
    <w:rsid w:val="00076467"/>
    <w:rsid w:val="00076E5A"/>
    <w:rsid w:val="00076EFB"/>
    <w:rsid w:val="0007767A"/>
    <w:rsid w:val="0007769C"/>
    <w:rsid w:val="00077E5F"/>
    <w:rsid w:val="0008014C"/>
    <w:rsid w:val="0008036A"/>
    <w:rsid w:val="00080EA3"/>
    <w:rsid w:val="000817DE"/>
    <w:rsid w:val="00081AE6"/>
    <w:rsid w:val="00081B48"/>
    <w:rsid w:val="00082671"/>
    <w:rsid w:val="00083043"/>
    <w:rsid w:val="00084791"/>
    <w:rsid w:val="00084A80"/>
    <w:rsid w:val="00085088"/>
    <w:rsid w:val="000853ED"/>
    <w:rsid w:val="000855EB"/>
    <w:rsid w:val="000858DA"/>
    <w:rsid w:val="00085B52"/>
    <w:rsid w:val="000866F2"/>
    <w:rsid w:val="0008774F"/>
    <w:rsid w:val="0009009F"/>
    <w:rsid w:val="000906E2"/>
    <w:rsid w:val="00091557"/>
    <w:rsid w:val="000924BE"/>
    <w:rsid w:val="000924C1"/>
    <w:rsid w:val="000924F0"/>
    <w:rsid w:val="00093474"/>
    <w:rsid w:val="00093647"/>
    <w:rsid w:val="00093A74"/>
    <w:rsid w:val="00094B2B"/>
    <w:rsid w:val="00095011"/>
    <w:rsid w:val="0009510F"/>
    <w:rsid w:val="00095D23"/>
    <w:rsid w:val="00096BCF"/>
    <w:rsid w:val="000A0052"/>
    <w:rsid w:val="000A06A2"/>
    <w:rsid w:val="000A0F8E"/>
    <w:rsid w:val="000A1454"/>
    <w:rsid w:val="000A16D3"/>
    <w:rsid w:val="000A1B7B"/>
    <w:rsid w:val="000A1C0E"/>
    <w:rsid w:val="000A24FD"/>
    <w:rsid w:val="000A2718"/>
    <w:rsid w:val="000A2CCF"/>
    <w:rsid w:val="000A350B"/>
    <w:rsid w:val="000A512B"/>
    <w:rsid w:val="000A56F2"/>
    <w:rsid w:val="000A57E9"/>
    <w:rsid w:val="000A61B0"/>
    <w:rsid w:val="000A61E1"/>
    <w:rsid w:val="000A6E7D"/>
    <w:rsid w:val="000A7593"/>
    <w:rsid w:val="000A7FE9"/>
    <w:rsid w:val="000B07F6"/>
    <w:rsid w:val="000B110F"/>
    <w:rsid w:val="000B18F4"/>
    <w:rsid w:val="000B2719"/>
    <w:rsid w:val="000B28B8"/>
    <w:rsid w:val="000B3A8F"/>
    <w:rsid w:val="000B4AB9"/>
    <w:rsid w:val="000B58C3"/>
    <w:rsid w:val="000B61E9"/>
    <w:rsid w:val="000B63B5"/>
    <w:rsid w:val="000B68BE"/>
    <w:rsid w:val="000C034E"/>
    <w:rsid w:val="000C144E"/>
    <w:rsid w:val="000C165A"/>
    <w:rsid w:val="000C2919"/>
    <w:rsid w:val="000C2E19"/>
    <w:rsid w:val="000C300B"/>
    <w:rsid w:val="000C3A27"/>
    <w:rsid w:val="000C40E6"/>
    <w:rsid w:val="000C4A25"/>
    <w:rsid w:val="000C4F9A"/>
    <w:rsid w:val="000C554D"/>
    <w:rsid w:val="000C56E8"/>
    <w:rsid w:val="000C5897"/>
    <w:rsid w:val="000C5A49"/>
    <w:rsid w:val="000C6032"/>
    <w:rsid w:val="000C6930"/>
    <w:rsid w:val="000C74C9"/>
    <w:rsid w:val="000D0008"/>
    <w:rsid w:val="000D0218"/>
    <w:rsid w:val="000D055E"/>
    <w:rsid w:val="000D0D07"/>
    <w:rsid w:val="000D1157"/>
    <w:rsid w:val="000D11FC"/>
    <w:rsid w:val="000D1997"/>
    <w:rsid w:val="000D1C59"/>
    <w:rsid w:val="000D270E"/>
    <w:rsid w:val="000D385E"/>
    <w:rsid w:val="000D3D26"/>
    <w:rsid w:val="000D3D59"/>
    <w:rsid w:val="000D4294"/>
    <w:rsid w:val="000D42E4"/>
    <w:rsid w:val="000D4797"/>
    <w:rsid w:val="000D4C56"/>
    <w:rsid w:val="000D50AA"/>
    <w:rsid w:val="000D6E63"/>
    <w:rsid w:val="000E0077"/>
    <w:rsid w:val="000E0153"/>
    <w:rsid w:val="000E0527"/>
    <w:rsid w:val="000E0C40"/>
    <w:rsid w:val="000E11C0"/>
    <w:rsid w:val="000E1E92"/>
    <w:rsid w:val="000E255B"/>
    <w:rsid w:val="000E3B83"/>
    <w:rsid w:val="000E5F02"/>
    <w:rsid w:val="000E5F94"/>
    <w:rsid w:val="000E6897"/>
    <w:rsid w:val="000F06D6"/>
    <w:rsid w:val="000F0EB1"/>
    <w:rsid w:val="000F1106"/>
    <w:rsid w:val="000F1D8F"/>
    <w:rsid w:val="000F1E08"/>
    <w:rsid w:val="000F242D"/>
    <w:rsid w:val="000F2630"/>
    <w:rsid w:val="000F3BE9"/>
    <w:rsid w:val="000F3F6C"/>
    <w:rsid w:val="000F5548"/>
    <w:rsid w:val="000F6D86"/>
    <w:rsid w:val="000F6DF3"/>
    <w:rsid w:val="000F7508"/>
    <w:rsid w:val="001004CE"/>
    <w:rsid w:val="001005FF"/>
    <w:rsid w:val="00100C06"/>
    <w:rsid w:val="001014C9"/>
    <w:rsid w:val="001031CE"/>
    <w:rsid w:val="001061A8"/>
    <w:rsid w:val="001062FB"/>
    <w:rsid w:val="001063E6"/>
    <w:rsid w:val="00106A03"/>
    <w:rsid w:val="00106CB2"/>
    <w:rsid w:val="00107AEB"/>
    <w:rsid w:val="00110827"/>
    <w:rsid w:val="00111268"/>
    <w:rsid w:val="001122D1"/>
    <w:rsid w:val="001123DC"/>
    <w:rsid w:val="00113CF4"/>
    <w:rsid w:val="001153EA"/>
    <w:rsid w:val="00115643"/>
    <w:rsid w:val="00115916"/>
    <w:rsid w:val="00115F20"/>
    <w:rsid w:val="00116765"/>
    <w:rsid w:val="00116D54"/>
    <w:rsid w:val="001174FC"/>
    <w:rsid w:val="00117808"/>
    <w:rsid w:val="00117A66"/>
    <w:rsid w:val="001208CA"/>
    <w:rsid w:val="0012178B"/>
    <w:rsid w:val="001218F7"/>
    <w:rsid w:val="001219F5"/>
    <w:rsid w:val="00121A20"/>
    <w:rsid w:val="00121B7F"/>
    <w:rsid w:val="00122BDF"/>
    <w:rsid w:val="00123697"/>
    <w:rsid w:val="0012377F"/>
    <w:rsid w:val="00123F4C"/>
    <w:rsid w:val="00123FE8"/>
    <w:rsid w:val="00124314"/>
    <w:rsid w:val="001248C6"/>
    <w:rsid w:val="00124C68"/>
    <w:rsid w:val="00125920"/>
    <w:rsid w:val="00126B4A"/>
    <w:rsid w:val="00126B50"/>
    <w:rsid w:val="00126D3E"/>
    <w:rsid w:val="00130560"/>
    <w:rsid w:val="00131887"/>
    <w:rsid w:val="001327CC"/>
    <w:rsid w:val="00132B1A"/>
    <w:rsid w:val="00132FD0"/>
    <w:rsid w:val="0013390F"/>
    <w:rsid w:val="00133F46"/>
    <w:rsid w:val="001344C0"/>
    <w:rsid w:val="001346FA"/>
    <w:rsid w:val="00134975"/>
    <w:rsid w:val="00134A02"/>
    <w:rsid w:val="00135252"/>
    <w:rsid w:val="00136AC9"/>
    <w:rsid w:val="00137AB5"/>
    <w:rsid w:val="00137F0B"/>
    <w:rsid w:val="00140701"/>
    <w:rsid w:val="001414D1"/>
    <w:rsid w:val="00141991"/>
    <w:rsid w:val="0014231F"/>
    <w:rsid w:val="0014338A"/>
    <w:rsid w:val="00144B0F"/>
    <w:rsid w:val="00145AC4"/>
    <w:rsid w:val="00146323"/>
    <w:rsid w:val="00146A28"/>
    <w:rsid w:val="00146FDB"/>
    <w:rsid w:val="00147243"/>
    <w:rsid w:val="00147A81"/>
    <w:rsid w:val="00150739"/>
    <w:rsid w:val="001507F6"/>
    <w:rsid w:val="00151845"/>
    <w:rsid w:val="00151E23"/>
    <w:rsid w:val="0015258E"/>
    <w:rsid w:val="001526E0"/>
    <w:rsid w:val="00153E14"/>
    <w:rsid w:val="00153E2C"/>
    <w:rsid w:val="00153EC7"/>
    <w:rsid w:val="00154DB0"/>
    <w:rsid w:val="001551B5"/>
    <w:rsid w:val="0015542F"/>
    <w:rsid w:val="00155644"/>
    <w:rsid w:val="0015704C"/>
    <w:rsid w:val="001570E3"/>
    <w:rsid w:val="00157C09"/>
    <w:rsid w:val="00160224"/>
    <w:rsid w:val="001615BD"/>
    <w:rsid w:val="00161931"/>
    <w:rsid w:val="00162DAD"/>
    <w:rsid w:val="001631BB"/>
    <w:rsid w:val="001638F7"/>
    <w:rsid w:val="0016391C"/>
    <w:rsid w:val="001639A1"/>
    <w:rsid w:val="001644DA"/>
    <w:rsid w:val="001651F2"/>
    <w:rsid w:val="00165310"/>
    <w:rsid w:val="001656C9"/>
    <w:rsid w:val="001659C1"/>
    <w:rsid w:val="00165A90"/>
    <w:rsid w:val="00167FA0"/>
    <w:rsid w:val="001701D9"/>
    <w:rsid w:val="00170CB7"/>
    <w:rsid w:val="00172022"/>
    <w:rsid w:val="00173A8E"/>
    <w:rsid w:val="00173E60"/>
    <w:rsid w:val="00173EA8"/>
    <w:rsid w:val="0017422D"/>
    <w:rsid w:val="0017479E"/>
    <w:rsid w:val="0017502C"/>
    <w:rsid w:val="00175F9D"/>
    <w:rsid w:val="00176036"/>
    <w:rsid w:val="00176335"/>
    <w:rsid w:val="00176930"/>
    <w:rsid w:val="00177964"/>
    <w:rsid w:val="00177DCD"/>
    <w:rsid w:val="001803C9"/>
    <w:rsid w:val="001812A0"/>
    <w:rsid w:val="0018143F"/>
    <w:rsid w:val="00181FF8"/>
    <w:rsid w:val="00182DD0"/>
    <w:rsid w:val="001846FD"/>
    <w:rsid w:val="00184723"/>
    <w:rsid w:val="00186541"/>
    <w:rsid w:val="00186BCE"/>
    <w:rsid w:val="00190237"/>
    <w:rsid w:val="001908D0"/>
    <w:rsid w:val="00190AC1"/>
    <w:rsid w:val="001913FA"/>
    <w:rsid w:val="00191809"/>
    <w:rsid w:val="001920BF"/>
    <w:rsid w:val="001924B0"/>
    <w:rsid w:val="00192C17"/>
    <w:rsid w:val="00192DBC"/>
    <w:rsid w:val="0019341A"/>
    <w:rsid w:val="00194340"/>
    <w:rsid w:val="00195169"/>
    <w:rsid w:val="00195188"/>
    <w:rsid w:val="001951BE"/>
    <w:rsid w:val="0019540B"/>
    <w:rsid w:val="0019561A"/>
    <w:rsid w:val="001958DF"/>
    <w:rsid w:val="00195B0D"/>
    <w:rsid w:val="00196D73"/>
    <w:rsid w:val="0019791C"/>
    <w:rsid w:val="00197DF9"/>
    <w:rsid w:val="00197F60"/>
    <w:rsid w:val="001A0568"/>
    <w:rsid w:val="001A078C"/>
    <w:rsid w:val="001A11BD"/>
    <w:rsid w:val="001A11D5"/>
    <w:rsid w:val="001A1987"/>
    <w:rsid w:val="001A1A5D"/>
    <w:rsid w:val="001A1C8D"/>
    <w:rsid w:val="001A221D"/>
    <w:rsid w:val="001A2564"/>
    <w:rsid w:val="001A25E2"/>
    <w:rsid w:val="001A2996"/>
    <w:rsid w:val="001A34B4"/>
    <w:rsid w:val="001A3A2E"/>
    <w:rsid w:val="001A58F1"/>
    <w:rsid w:val="001A5BE0"/>
    <w:rsid w:val="001A5C36"/>
    <w:rsid w:val="001A613E"/>
    <w:rsid w:val="001A6173"/>
    <w:rsid w:val="001A6759"/>
    <w:rsid w:val="001A6B82"/>
    <w:rsid w:val="001A6CBA"/>
    <w:rsid w:val="001A7613"/>
    <w:rsid w:val="001A78EA"/>
    <w:rsid w:val="001B070A"/>
    <w:rsid w:val="001B0D97"/>
    <w:rsid w:val="001B0EAF"/>
    <w:rsid w:val="001B0F1C"/>
    <w:rsid w:val="001B111D"/>
    <w:rsid w:val="001B22EC"/>
    <w:rsid w:val="001B333E"/>
    <w:rsid w:val="001B5791"/>
    <w:rsid w:val="001B5A5D"/>
    <w:rsid w:val="001C0E76"/>
    <w:rsid w:val="001C1379"/>
    <w:rsid w:val="001C1716"/>
    <w:rsid w:val="001C18AF"/>
    <w:rsid w:val="001C1CE5"/>
    <w:rsid w:val="001C22F6"/>
    <w:rsid w:val="001C23F0"/>
    <w:rsid w:val="001C272E"/>
    <w:rsid w:val="001C3151"/>
    <w:rsid w:val="001C3D2A"/>
    <w:rsid w:val="001C4016"/>
    <w:rsid w:val="001C50AC"/>
    <w:rsid w:val="001C573B"/>
    <w:rsid w:val="001C599C"/>
    <w:rsid w:val="001C5B19"/>
    <w:rsid w:val="001C628D"/>
    <w:rsid w:val="001C694A"/>
    <w:rsid w:val="001C6C98"/>
    <w:rsid w:val="001C71CA"/>
    <w:rsid w:val="001C7A05"/>
    <w:rsid w:val="001D07E5"/>
    <w:rsid w:val="001D1718"/>
    <w:rsid w:val="001D2E2F"/>
    <w:rsid w:val="001D4227"/>
    <w:rsid w:val="001D51BA"/>
    <w:rsid w:val="001D528F"/>
    <w:rsid w:val="001D53E7"/>
    <w:rsid w:val="001D5A57"/>
    <w:rsid w:val="001D6342"/>
    <w:rsid w:val="001D6576"/>
    <w:rsid w:val="001D6D53"/>
    <w:rsid w:val="001D755B"/>
    <w:rsid w:val="001D79C8"/>
    <w:rsid w:val="001E02AE"/>
    <w:rsid w:val="001E0378"/>
    <w:rsid w:val="001E06F6"/>
    <w:rsid w:val="001E0A76"/>
    <w:rsid w:val="001E15EA"/>
    <w:rsid w:val="001E196B"/>
    <w:rsid w:val="001E1FEA"/>
    <w:rsid w:val="001E26D6"/>
    <w:rsid w:val="001E2BDB"/>
    <w:rsid w:val="001E3014"/>
    <w:rsid w:val="001E325D"/>
    <w:rsid w:val="001E35B0"/>
    <w:rsid w:val="001E3C17"/>
    <w:rsid w:val="001E3FB8"/>
    <w:rsid w:val="001E58E2"/>
    <w:rsid w:val="001E7AED"/>
    <w:rsid w:val="001F005D"/>
    <w:rsid w:val="001F058E"/>
    <w:rsid w:val="001F09C6"/>
    <w:rsid w:val="001F0A5E"/>
    <w:rsid w:val="001F0DAF"/>
    <w:rsid w:val="001F1378"/>
    <w:rsid w:val="001F1892"/>
    <w:rsid w:val="001F1C23"/>
    <w:rsid w:val="001F23D5"/>
    <w:rsid w:val="001F2444"/>
    <w:rsid w:val="001F2CEB"/>
    <w:rsid w:val="001F3602"/>
    <w:rsid w:val="001F388A"/>
    <w:rsid w:val="001F3916"/>
    <w:rsid w:val="001F4391"/>
    <w:rsid w:val="001F43A0"/>
    <w:rsid w:val="001F54C5"/>
    <w:rsid w:val="001F5D49"/>
    <w:rsid w:val="001F662C"/>
    <w:rsid w:val="001F6953"/>
    <w:rsid w:val="001F6F89"/>
    <w:rsid w:val="001F7074"/>
    <w:rsid w:val="001F73B6"/>
    <w:rsid w:val="001F75D9"/>
    <w:rsid w:val="00200295"/>
    <w:rsid w:val="00200490"/>
    <w:rsid w:val="00200B90"/>
    <w:rsid w:val="00201F3A"/>
    <w:rsid w:val="00202215"/>
    <w:rsid w:val="002032A8"/>
    <w:rsid w:val="00203715"/>
    <w:rsid w:val="00203F96"/>
    <w:rsid w:val="0020440A"/>
    <w:rsid w:val="00204812"/>
    <w:rsid w:val="002049EE"/>
    <w:rsid w:val="00204C8E"/>
    <w:rsid w:val="002052B9"/>
    <w:rsid w:val="00205AF9"/>
    <w:rsid w:val="002066E6"/>
    <w:rsid w:val="0020674A"/>
    <w:rsid w:val="002069B2"/>
    <w:rsid w:val="00206E09"/>
    <w:rsid w:val="0020709E"/>
    <w:rsid w:val="0020779A"/>
    <w:rsid w:val="002079F8"/>
    <w:rsid w:val="00207FA3"/>
    <w:rsid w:val="00210127"/>
    <w:rsid w:val="0021033B"/>
    <w:rsid w:val="00210A20"/>
    <w:rsid w:val="00210D33"/>
    <w:rsid w:val="002110DE"/>
    <w:rsid w:val="0021263E"/>
    <w:rsid w:val="00212768"/>
    <w:rsid w:val="00214DA8"/>
    <w:rsid w:val="00215233"/>
    <w:rsid w:val="00215423"/>
    <w:rsid w:val="00215775"/>
    <w:rsid w:val="002158DB"/>
    <w:rsid w:val="002158FA"/>
    <w:rsid w:val="00216557"/>
    <w:rsid w:val="00216BDD"/>
    <w:rsid w:val="00216DD4"/>
    <w:rsid w:val="00216FAA"/>
    <w:rsid w:val="0021721E"/>
    <w:rsid w:val="00220089"/>
    <w:rsid w:val="00220225"/>
    <w:rsid w:val="00220442"/>
    <w:rsid w:val="00220600"/>
    <w:rsid w:val="0022084D"/>
    <w:rsid w:val="00220878"/>
    <w:rsid w:val="00221202"/>
    <w:rsid w:val="002212AD"/>
    <w:rsid w:val="00221530"/>
    <w:rsid w:val="002220B6"/>
    <w:rsid w:val="002224DB"/>
    <w:rsid w:val="00222688"/>
    <w:rsid w:val="00223BEF"/>
    <w:rsid w:val="00223FCB"/>
    <w:rsid w:val="0022508C"/>
    <w:rsid w:val="002252C3"/>
    <w:rsid w:val="0022593B"/>
    <w:rsid w:val="00225C54"/>
    <w:rsid w:val="00225F5B"/>
    <w:rsid w:val="00226F9A"/>
    <w:rsid w:val="002276A1"/>
    <w:rsid w:val="002305F1"/>
    <w:rsid w:val="00230765"/>
    <w:rsid w:val="002309EF"/>
    <w:rsid w:val="00230D18"/>
    <w:rsid w:val="00231303"/>
    <w:rsid w:val="00231350"/>
    <w:rsid w:val="002319E4"/>
    <w:rsid w:val="00231E6E"/>
    <w:rsid w:val="00232320"/>
    <w:rsid w:val="002324CB"/>
    <w:rsid w:val="00233988"/>
    <w:rsid w:val="00233ADD"/>
    <w:rsid w:val="00233DFB"/>
    <w:rsid w:val="00233F4C"/>
    <w:rsid w:val="00234840"/>
    <w:rsid w:val="00234B9C"/>
    <w:rsid w:val="00235457"/>
    <w:rsid w:val="00235632"/>
    <w:rsid w:val="0023564D"/>
    <w:rsid w:val="00235872"/>
    <w:rsid w:val="002360FF"/>
    <w:rsid w:val="0023687B"/>
    <w:rsid w:val="002377DB"/>
    <w:rsid w:val="00237933"/>
    <w:rsid w:val="00240FD7"/>
    <w:rsid w:val="002414D1"/>
    <w:rsid w:val="00241559"/>
    <w:rsid w:val="00241688"/>
    <w:rsid w:val="002419EC"/>
    <w:rsid w:val="002424EB"/>
    <w:rsid w:val="00242D3F"/>
    <w:rsid w:val="00242FD0"/>
    <w:rsid w:val="002435B3"/>
    <w:rsid w:val="00243C35"/>
    <w:rsid w:val="00245559"/>
    <w:rsid w:val="002458EB"/>
    <w:rsid w:val="00245AB8"/>
    <w:rsid w:val="0024605F"/>
    <w:rsid w:val="0024633D"/>
    <w:rsid w:val="00246602"/>
    <w:rsid w:val="00246B75"/>
    <w:rsid w:val="002473D4"/>
    <w:rsid w:val="00250054"/>
    <w:rsid w:val="002500C8"/>
    <w:rsid w:val="00250C49"/>
    <w:rsid w:val="00251000"/>
    <w:rsid w:val="00251031"/>
    <w:rsid w:val="0025339F"/>
    <w:rsid w:val="00253644"/>
    <w:rsid w:val="002539AE"/>
    <w:rsid w:val="002547A0"/>
    <w:rsid w:val="00254F12"/>
    <w:rsid w:val="00255C46"/>
    <w:rsid w:val="0025621F"/>
    <w:rsid w:val="00257543"/>
    <w:rsid w:val="00261380"/>
    <w:rsid w:val="002616DC"/>
    <w:rsid w:val="002617D0"/>
    <w:rsid w:val="002617E7"/>
    <w:rsid w:val="00262F59"/>
    <w:rsid w:val="00263FBF"/>
    <w:rsid w:val="00264228"/>
    <w:rsid w:val="00264334"/>
    <w:rsid w:val="0026473E"/>
    <w:rsid w:val="00265E03"/>
    <w:rsid w:val="00266138"/>
    <w:rsid w:val="00266214"/>
    <w:rsid w:val="00267C83"/>
    <w:rsid w:val="0027144F"/>
    <w:rsid w:val="00271512"/>
    <w:rsid w:val="00271813"/>
    <w:rsid w:val="00271F3A"/>
    <w:rsid w:val="00273278"/>
    <w:rsid w:val="00273431"/>
    <w:rsid w:val="002737F4"/>
    <w:rsid w:val="002740F4"/>
    <w:rsid w:val="0027488C"/>
    <w:rsid w:val="002750F5"/>
    <w:rsid w:val="00275696"/>
    <w:rsid w:val="002759A1"/>
    <w:rsid w:val="00275AAE"/>
    <w:rsid w:val="00275FF4"/>
    <w:rsid w:val="00276A88"/>
    <w:rsid w:val="002775CA"/>
    <w:rsid w:val="00277D0F"/>
    <w:rsid w:val="002805F5"/>
    <w:rsid w:val="00280751"/>
    <w:rsid w:val="0028103C"/>
    <w:rsid w:val="00281158"/>
    <w:rsid w:val="00281D33"/>
    <w:rsid w:val="00281ED5"/>
    <w:rsid w:val="0028280A"/>
    <w:rsid w:val="002831F0"/>
    <w:rsid w:val="0028414E"/>
    <w:rsid w:val="002841D9"/>
    <w:rsid w:val="00284BEE"/>
    <w:rsid w:val="002860AD"/>
    <w:rsid w:val="00286ACD"/>
    <w:rsid w:val="002873A9"/>
    <w:rsid w:val="00287838"/>
    <w:rsid w:val="00287D5C"/>
    <w:rsid w:val="002906CA"/>
    <w:rsid w:val="002907B5"/>
    <w:rsid w:val="002916AC"/>
    <w:rsid w:val="00291A85"/>
    <w:rsid w:val="00292C3E"/>
    <w:rsid w:val="00292EB7"/>
    <w:rsid w:val="0029357B"/>
    <w:rsid w:val="00293648"/>
    <w:rsid w:val="00296227"/>
    <w:rsid w:val="002964B6"/>
    <w:rsid w:val="00296F44"/>
    <w:rsid w:val="0029777D"/>
    <w:rsid w:val="00297D48"/>
    <w:rsid w:val="002A055E"/>
    <w:rsid w:val="002A06DF"/>
    <w:rsid w:val="002A1D4E"/>
    <w:rsid w:val="002A1EF3"/>
    <w:rsid w:val="002A27B6"/>
    <w:rsid w:val="002A2869"/>
    <w:rsid w:val="002A296E"/>
    <w:rsid w:val="002A3C13"/>
    <w:rsid w:val="002A3C75"/>
    <w:rsid w:val="002A3F97"/>
    <w:rsid w:val="002A473A"/>
    <w:rsid w:val="002A4F96"/>
    <w:rsid w:val="002A559B"/>
    <w:rsid w:val="002A56DE"/>
    <w:rsid w:val="002A61D2"/>
    <w:rsid w:val="002A6DB6"/>
    <w:rsid w:val="002A7025"/>
    <w:rsid w:val="002A7670"/>
    <w:rsid w:val="002A7FB4"/>
    <w:rsid w:val="002B07A7"/>
    <w:rsid w:val="002B1435"/>
    <w:rsid w:val="002B2231"/>
    <w:rsid w:val="002B22D7"/>
    <w:rsid w:val="002B24D6"/>
    <w:rsid w:val="002B2B1A"/>
    <w:rsid w:val="002B2E34"/>
    <w:rsid w:val="002B3017"/>
    <w:rsid w:val="002B4061"/>
    <w:rsid w:val="002B40AF"/>
    <w:rsid w:val="002B4930"/>
    <w:rsid w:val="002B4CAB"/>
    <w:rsid w:val="002B4D73"/>
    <w:rsid w:val="002B5905"/>
    <w:rsid w:val="002B5933"/>
    <w:rsid w:val="002B609B"/>
    <w:rsid w:val="002B6670"/>
    <w:rsid w:val="002B7973"/>
    <w:rsid w:val="002B7E99"/>
    <w:rsid w:val="002C0125"/>
    <w:rsid w:val="002C2474"/>
    <w:rsid w:val="002C31B1"/>
    <w:rsid w:val="002C41E6"/>
    <w:rsid w:val="002C5B10"/>
    <w:rsid w:val="002C711D"/>
    <w:rsid w:val="002D071A"/>
    <w:rsid w:val="002D0DE1"/>
    <w:rsid w:val="002D1A6A"/>
    <w:rsid w:val="002D2865"/>
    <w:rsid w:val="002D34B2"/>
    <w:rsid w:val="002D386D"/>
    <w:rsid w:val="002D3B28"/>
    <w:rsid w:val="002D3E18"/>
    <w:rsid w:val="002D47BF"/>
    <w:rsid w:val="002D48B0"/>
    <w:rsid w:val="002D5128"/>
    <w:rsid w:val="002D52EA"/>
    <w:rsid w:val="002D5B37"/>
    <w:rsid w:val="002D5E64"/>
    <w:rsid w:val="002D68B1"/>
    <w:rsid w:val="002D6D02"/>
    <w:rsid w:val="002D6E09"/>
    <w:rsid w:val="002D73D2"/>
    <w:rsid w:val="002D7637"/>
    <w:rsid w:val="002E094B"/>
    <w:rsid w:val="002E0D02"/>
    <w:rsid w:val="002E1487"/>
    <w:rsid w:val="002E17F2"/>
    <w:rsid w:val="002E2760"/>
    <w:rsid w:val="002E2FAB"/>
    <w:rsid w:val="002E3104"/>
    <w:rsid w:val="002E36D8"/>
    <w:rsid w:val="002E3993"/>
    <w:rsid w:val="002E3B98"/>
    <w:rsid w:val="002E3BFA"/>
    <w:rsid w:val="002E4640"/>
    <w:rsid w:val="002E6576"/>
    <w:rsid w:val="002E69AE"/>
    <w:rsid w:val="002E7CAE"/>
    <w:rsid w:val="002F0419"/>
    <w:rsid w:val="002F114E"/>
    <w:rsid w:val="002F13E4"/>
    <w:rsid w:val="002F1BF4"/>
    <w:rsid w:val="002F2771"/>
    <w:rsid w:val="002F27FB"/>
    <w:rsid w:val="002F3295"/>
    <w:rsid w:val="002F37A9"/>
    <w:rsid w:val="002F3CC7"/>
    <w:rsid w:val="002F3D46"/>
    <w:rsid w:val="002F45A2"/>
    <w:rsid w:val="002F473D"/>
    <w:rsid w:val="002F487C"/>
    <w:rsid w:val="002F4AF4"/>
    <w:rsid w:val="002F5585"/>
    <w:rsid w:val="002F57D6"/>
    <w:rsid w:val="002F5CFC"/>
    <w:rsid w:val="002F5DA9"/>
    <w:rsid w:val="002F6736"/>
    <w:rsid w:val="002F6A5A"/>
    <w:rsid w:val="002F7456"/>
    <w:rsid w:val="0030028C"/>
    <w:rsid w:val="00301C7E"/>
    <w:rsid w:val="00301CE6"/>
    <w:rsid w:val="0030256B"/>
    <w:rsid w:val="003026A7"/>
    <w:rsid w:val="00302857"/>
    <w:rsid w:val="00303AA6"/>
    <w:rsid w:val="00303AE9"/>
    <w:rsid w:val="00303F1A"/>
    <w:rsid w:val="00303F4A"/>
    <w:rsid w:val="0030501F"/>
    <w:rsid w:val="00305442"/>
    <w:rsid w:val="00305A5D"/>
    <w:rsid w:val="003062FA"/>
    <w:rsid w:val="003063CB"/>
    <w:rsid w:val="00306EB3"/>
    <w:rsid w:val="003071A7"/>
    <w:rsid w:val="003073C6"/>
    <w:rsid w:val="00307BA1"/>
    <w:rsid w:val="00310006"/>
    <w:rsid w:val="00310F20"/>
    <w:rsid w:val="00311222"/>
    <w:rsid w:val="00311702"/>
    <w:rsid w:val="00311E82"/>
    <w:rsid w:val="00312A3E"/>
    <w:rsid w:val="003136F8"/>
    <w:rsid w:val="00313FD6"/>
    <w:rsid w:val="003143BD"/>
    <w:rsid w:val="00314416"/>
    <w:rsid w:val="003147A4"/>
    <w:rsid w:val="00314A14"/>
    <w:rsid w:val="00314D67"/>
    <w:rsid w:val="00315363"/>
    <w:rsid w:val="0031597D"/>
    <w:rsid w:val="0031700C"/>
    <w:rsid w:val="00317FB3"/>
    <w:rsid w:val="003203ED"/>
    <w:rsid w:val="00320536"/>
    <w:rsid w:val="0032062D"/>
    <w:rsid w:val="00320768"/>
    <w:rsid w:val="00320BEB"/>
    <w:rsid w:val="00321675"/>
    <w:rsid w:val="003216C0"/>
    <w:rsid w:val="003217FB"/>
    <w:rsid w:val="003227F3"/>
    <w:rsid w:val="00322C9F"/>
    <w:rsid w:val="00322F5A"/>
    <w:rsid w:val="00323831"/>
    <w:rsid w:val="00323FF4"/>
    <w:rsid w:val="00323FFE"/>
    <w:rsid w:val="00324527"/>
    <w:rsid w:val="00324D23"/>
    <w:rsid w:val="00324DDC"/>
    <w:rsid w:val="0032519B"/>
    <w:rsid w:val="003254A0"/>
    <w:rsid w:val="003269C2"/>
    <w:rsid w:val="00327509"/>
    <w:rsid w:val="00327A62"/>
    <w:rsid w:val="00327C29"/>
    <w:rsid w:val="00330FE3"/>
    <w:rsid w:val="003313E6"/>
    <w:rsid w:val="00331417"/>
    <w:rsid w:val="00331751"/>
    <w:rsid w:val="00331BB5"/>
    <w:rsid w:val="00331DDD"/>
    <w:rsid w:val="00332A40"/>
    <w:rsid w:val="00334579"/>
    <w:rsid w:val="00334D6F"/>
    <w:rsid w:val="00334DCC"/>
    <w:rsid w:val="003354C1"/>
    <w:rsid w:val="00335858"/>
    <w:rsid w:val="00336BDA"/>
    <w:rsid w:val="00336E8C"/>
    <w:rsid w:val="003403AA"/>
    <w:rsid w:val="00340717"/>
    <w:rsid w:val="00341D34"/>
    <w:rsid w:val="00342BD7"/>
    <w:rsid w:val="00342D62"/>
    <w:rsid w:val="003431EA"/>
    <w:rsid w:val="00343EBF"/>
    <w:rsid w:val="00344227"/>
    <w:rsid w:val="0034453E"/>
    <w:rsid w:val="00345A5D"/>
    <w:rsid w:val="00345DEE"/>
    <w:rsid w:val="00345DEF"/>
    <w:rsid w:val="00346DB5"/>
    <w:rsid w:val="0034719E"/>
    <w:rsid w:val="00347402"/>
    <w:rsid w:val="003477B1"/>
    <w:rsid w:val="0035001F"/>
    <w:rsid w:val="003505EF"/>
    <w:rsid w:val="00350660"/>
    <w:rsid w:val="0035066D"/>
    <w:rsid w:val="00351122"/>
    <w:rsid w:val="00352DAE"/>
    <w:rsid w:val="00353017"/>
    <w:rsid w:val="0035379C"/>
    <w:rsid w:val="00353F92"/>
    <w:rsid w:val="00354231"/>
    <w:rsid w:val="0035482E"/>
    <w:rsid w:val="00354E17"/>
    <w:rsid w:val="003564A6"/>
    <w:rsid w:val="00357380"/>
    <w:rsid w:val="0035778E"/>
    <w:rsid w:val="00357FBB"/>
    <w:rsid w:val="003602D9"/>
    <w:rsid w:val="003604C1"/>
    <w:rsid w:val="003604CE"/>
    <w:rsid w:val="0036086D"/>
    <w:rsid w:val="0036183E"/>
    <w:rsid w:val="00361C3F"/>
    <w:rsid w:val="0036485F"/>
    <w:rsid w:val="00365078"/>
    <w:rsid w:val="00365232"/>
    <w:rsid w:val="0036554E"/>
    <w:rsid w:val="00365DF5"/>
    <w:rsid w:val="00366B76"/>
    <w:rsid w:val="00367756"/>
    <w:rsid w:val="00367DAD"/>
    <w:rsid w:val="00370330"/>
    <w:rsid w:val="003703D0"/>
    <w:rsid w:val="00370738"/>
    <w:rsid w:val="00370E47"/>
    <w:rsid w:val="00371C1E"/>
    <w:rsid w:val="00371F05"/>
    <w:rsid w:val="0037251D"/>
    <w:rsid w:val="003742AC"/>
    <w:rsid w:val="003751C3"/>
    <w:rsid w:val="00375C8A"/>
    <w:rsid w:val="00376405"/>
    <w:rsid w:val="003765EF"/>
    <w:rsid w:val="00376F9C"/>
    <w:rsid w:val="00377360"/>
    <w:rsid w:val="003778B2"/>
    <w:rsid w:val="00377CE1"/>
    <w:rsid w:val="00381066"/>
    <w:rsid w:val="00382725"/>
    <w:rsid w:val="00382755"/>
    <w:rsid w:val="00385960"/>
    <w:rsid w:val="00385BF0"/>
    <w:rsid w:val="0038609B"/>
    <w:rsid w:val="003862EB"/>
    <w:rsid w:val="00386AD5"/>
    <w:rsid w:val="003872F3"/>
    <w:rsid w:val="003875EA"/>
    <w:rsid w:val="003877CE"/>
    <w:rsid w:val="0039014F"/>
    <w:rsid w:val="00390221"/>
    <w:rsid w:val="00390F96"/>
    <w:rsid w:val="00390FDA"/>
    <w:rsid w:val="00392191"/>
    <w:rsid w:val="0039387B"/>
    <w:rsid w:val="003939FF"/>
    <w:rsid w:val="00393B1A"/>
    <w:rsid w:val="003945A7"/>
    <w:rsid w:val="0039655E"/>
    <w:rsid w:val="00397A74"/>
    <w:rsid w:val="00397F19"/>
    <w:rsid w:val="003A1E63"/>
    <w:rsid w:val="003A2223"/>
    <w:rsid w:val="003A2A0F"/>
    <w:rsid w:val="003A2A88"/>
    <w:rsid w:val="003A35F1"/>
    <w:rsid w:val="003A3A1C"/>
    <w:rsid w:val="003A3DF1"/>
    <w:rsid w:val="003A45A1"/>
    <w:rsid w:val="003A45EC"/>
    <w:rsid w:val="003A4793"/>
    <w:rsid w:val="003A5510"/>
    <w:rsid w:val="003A5797"/>
    <w:rsid w:val="003A5B0A"/>
    <w:rsid w:val="003A6BAC"/>
    <w:rsid w:val="003A70A4"/>
    <w:rsid w:val="003A7227"/>
    <w:rsid w:val="003A74D6"/>
    <w:rsid w:val="003A7EF3"/>
    <w:rsid w:val="003B0DB5"/>
    <w:rsid w:val="003B14BA"/>
    <w:rsid w:val="003B159C"/>
    <w:rsid w:val="003B247A"/>
    <w:rsid w:val="003B3097"/>
    <w:rsid w:val="003B369F"/>
    <w:rsid w:val="003B36A3"/>
    <w:rsid w:val="003B496B"/>
    <w:rsid w:val="003B58C4"/>
    <w:rsid w:val="003B5B13"/>
    <w:rsid w:val="003B64BB"/>
    <w:rsid w:val="003B6C1C"/>
    <w:rsid w:val="003B6E72"/>
    <w:rsid w:val="003B714C"/>
    <w:rsid w:val="003B73FC"/>
    <w:rsid w:val="003B7C74"/>
    <w:rsid w:val="003B7FE5"/>
    <w:rsid w:val="003C006B"/>
    <w:rsid w:val="003C1082"/>
    <w:rsid w:val="003C115E"/>
    <w:rsid w:val="003C11C8"/>
    <w:rsid w:val="003C1D42"/>
    <w:rsid w:val="003C2220"/>
    <w:rsid w:val="003C2702"/>
    <w:rsid w:val="003C28A6"/>
    <w:rsid w:val="003C2CB7"/>
    <w:rsid w:val="003C38C6"/>
    <w:rsid w:val="003C3936"/>
    <w:rsid w:val="003C3C3C"/>
    <w:rsid w:val="003C3F53"/>
    <w:rsid w:val="003C5EC6"/>
    <w:rsid w:val="003C76B1"/>
    <w:rsid w:val="003C7806"/>
    <w:rsid w:val="003C7973"/>
    <w:rsid w:val="003D05C2"/>
    <w:rsid w:val="003D109F"/>
    <w:rsid w:val="003D21B5"/>
    <w:rsid w:val="003D2478"/>
    <w:rsid w:val="003D3C45"/>
    <w:rsid w:val="003D4D26"/>
    <w:rsid w:val="003D5246"/>
    <w:rsid w:val="003D59FD"/>
    <w:rsid w:val="003D5A8C"/>
    <w:rsid w:val="003D5B1F"/>
    <w:rsid w:val="003D6133"/>
    <w:rsid w:val="003D6DA2"/>
    <w:rsid w:val="003D6DEA"/>
    <w:rsid w:val="003D7087"/>
    <w:rsid w:val="003D7D19"/>
    <w:rsid w:val="003E01C6"/>
    <w:rsid w:val="003E1097"/>
    <w:rsid w:val="003E15FA"/>
    <w:rsid w:val="003E20D4"/>
    <w:rsid w:val="003E22FA"/>
    <w:rsid w:val="003E3337"/>
    <w:rsid w:val="003E3A84"/>
    <w:rsid w:val="003E3C6B"/>
    <w:rsid w:val="003E4533"/>
    <w:rsid w:val="003E55E4"/>
    <w:rsid w:val="003E5DC8"/>
    <w:rsid w:val="003E5ED6"/>
    <w:rsid w:val="003E6A0F"/>
    <w:rsid w:val="003E74E3"/>
    <w:rsid w:val="003F05C7"/>
    <w:rsid w:val="003F0698"/>
    <w:rsid w:val="003F1DA4"/>
    <w:rsid w:val="003F1DB8"/>
    <w:rsid w:val="003F2272"/>
    <w:rsid w:val="003F2387"/>
    <w:rsid w:val="003F2CD4"/>
    <w:rsid w:val="003F3FA4"/>
    <w:rsid w:val="003F51FB"/>
    <w:rsid w:val="003F5B11"/>
    <w:rsid w:val="003F5CD3"/>
    <w:rsid w:val="003F5E7E"/>
    <w:rsid w:val="003F6BBE"/>
    <w:rsid w:val="003F6F67"/>
    <w:rsid w:val="003F7308"/>
    <w:rsid w:val="003F786D"/>
    <w:rsid w:val="004000E8"/>
    <w:rsid w:val="00400409"/>
    <w:rsid w:val="00400B70"/>
    <w:rsid w:val="00402E2B"/>
    <w:rsid w:val="00402FB1"/>
    <w:rsid w:val="00403E7E"/>
    <w:rsid w:val="00404514"/>
    <w:rsid w:val="00404543"/>
    <w:rsid w:val="00404D71"/>
    <w:rsid w:val="0040512B"/>
    <w:rsid w:val="0040587C"/>
    <w:rsid w:val="004058D6"/>
    <w:rsid w:val="00405CA5"/>
    <w:rsid w:val="004066BC"/>
    <w:rsid w:val="004074A9"/>
    <w:rsid w:val="00407909"/>
    <w:rsid w:val="00407CD3"/>
    <w:rsid w:val="0041004D"/>
    <w:rsid w:val="00410134"/>
    <w:rsid w:val="00410B72"/>
    <w:rsid w:val="00410F18"/>
    <w:rsid w:val="0041156B"/>
    <w:rsid w:val="00411EC3"/>
    <w:rsid w:val="00411FF3"/>
    <w:rsid w:val="004121C6"/>
    <w:rsid w:val="004124A5"/>
    <w:rsid w:val="0041263E"/>
    <w:rsid w:val="00413AAC"/>
    <w:rsid w:val="00413E92"/>
    <w:rsid w:val="00414F2E"/>
    <w:rsid w:val="0041536A"/>
    <w:rsid w:val="004155F9"/>
    <w:rsid w:val="00416519"/>
    <w:rsid w:val="004168D8"/>
    <w:rsid w:val="00416F0B"/>
    <w:rsid w:val="0041766F"/>
    <w:rsid w:val="0041799F"/>
    <w:rsid w:val="00417A44"/>
    <w:rsid w:val="00420086"/>
    <w:rsid w:val="0042035A"/>
    <w:rsid w:val="00420C15"/>
    <w:rsid w:val="00420C24"/>
    <w:rsid w:val="00421105"/>
    <w:rsid w:val="00421630"/>
    <w:rsid w:val="00422AA4"/>
    <w:rsid w:val="004232B2"/>
    <w:rsid w:val="00423E88"/>
    <w:rsid w:val="004242F4"/>
    <w:rsid w:val="0042457D"/>
    <w:rsid w:val="00424BEA"/>
    <w:rsid w:val="00424F94"/>
    <w:rsid w:val="004256EB"/>
    <w:rsid w:val="00425868"/>
    <w:rsid w:val="0042694B"/>
    <w:rsid w:val="00426966"/>
    <w:rsid w:val="00426968"/>
    <w:rsid w:val="0042699F"/>
    <w:rsid w:val="00426E53"/>
    <w:rsid w:val="0042702D"/>
    <w:rsid w:val="00427248"/>
    <w:rsid w:val="004300E1"/>
    <w:rsid w:val="004319D3"/>
    <w:rsid w:val="00431A27"/>
    <w:rsid w:val="004323DD"/>
    <w:rsid w:val="00432639"/>
    <w:rsid w:val="00432993"/>
    <w:rsid w:val="00432A58"/>
    <w:rsid w:val="004335C5"/>
    <w:rsid w:val="00433634"/>
    <w:rsid w:val="00433CA1"/>
    <w:rsid w:val="00434170"/>
    <w:rsid w:val="004343A3"/>
    <w:rsid w:val="0043567D"/>
    <w:rsid w:val="004360DA"/>
    <w:rsid w:val="004363C0"/>
    <w:rsid w:val="00437447"/>
    <w:rsid w:val="0044130A"/>
    <w:rsid w:val="004415B4"/>
    <w:rsid w:val="00441A92"/>
    <w:rsid w:val="00442807"/>
    <w:rsid w:val="00442BFD"/>
    <w:rsid w:val="00443019"/>
    <w:rsid w:val="004431DC"/>
    <w:rsid w:val="0044350D"/>
    <w:rsid w:val="00443D1E"/>
    <w:rsid w:val="00444556"/>
    <w:rsid w:val="00444F56"/>
    <w:rsid w:val="00444FEA"/>
    <w:rsid w:val="00445054"/>
    <w:rsid w:val="00446488"/>
    <w:rsid w:val="0044678B"/>
    <w:rsid w:val="004473DD"/>
    <w:rsid w:val="004510D3"/>
    <w:rsid w:val="0045122B"/>
    <w:rsid w:val="004517AA"/>
    <w:rsid w:val="004519C6"/>
    <w:rsid w:val="00451A0A"/>
    <w:rsid w:val="00451C0D"/>
    <w:rsid w:val="00452CAC"/>
    <w:rsid w:val="00455759"/>
    <w:rsid w:val="00456DD5"/>
    <w:rsid w:val="00457329"/>
    <w:rsid w:val="00457565"/>
    <w:rsid w:val="00457957"/>
    <w:rsid w:val="00457B71"/>
    <w:rsid w:val="0046010A"/>
    <w:rsid w:val="00461B30"/>
    <w:rsid w:val="004623C0"/>
    <w:rsid w:val="004624A2"/>
    <w:rsid w:val="004642CB"/>
    <w:rsid w:val="00464689"/>
    <w:rsid w:val="00464982"/>
    <w:rsid w:val="004649A8"/>
    <w:rsid w:val="004652CA"/>
    <w:rsid w:val="004655B0"/>
    <w:rsid w:val="0046578F"/>
    <w:rsid w:val="0046592D"/>
    <w:rsid w:val="00465BD0"/>
    <w:rsid w:val="004669E2"/>
    <w:rsid w:val="00466F26"/>
    <w:rsid w:val="0046723A"/>
    <w:rsid w:val="00467BFD"/>
    <w:rsid w:val="00470C31"/>
    <w:rsid w:val="00470F5A"/>
    <w:rsid w:val="004714F0"/>
    <w:rsid w:val="00471DE0"/>
    <w:rsid w:val="00472CC0"/>
    <w:rsid w:val="00472FCB"/>
    <w:rsid w:val="004734D0"/>
    <w:rsid w:val="00474BC9"/>
    <w:rsid w:val="0047532B"/>
    <w:rsid w:val="0047556B"/>
    <w:rsid w:val="00475B5A"/>
    <w:rsid w:val="00476702"/>
    <w:rsid w:val="00477509"/>
    <w:rsid w:val="00477768"/>
    <w:rsid w:val="00477A81"/>
    <w:rsid w:val="00480037"/>
    <w:rsid w:val="0048072A"/>
    <w:rsid w:val="0048221B"/>
    <w:rsid w:val="0048324A"/>
    <w:rsid w:val="004832BD"/>
    <w:rsid w:val="004837D1"/>
    <w:rsid w:val="00483A85"/>
    <w:rsid w:val="00483D50"/>
    <w:rsid w:val="00484542"/>
    <w:rsid w:val="004850DA"/>
    <w:rsid w:val="004852E9"/>
    <w:rsid w:val="0048537A"/>
    <w:rsid w:val="0048596A"/>
    <w:rsid w:val="004861E5"/>
    <w:rsid w:val="00487A65"/>
    <w:rsid w:val="00491123"/>
    <w:rsid w:val="00491CFD"/>
    <w:rsid w:val="00492BC5"/>
    <w:rsid w:val="00494574"/>
    <w:rsid w:val="004950EA"/>
    <w:rsid w:val="00495525"/>
    <w:rsid w:val="00495928"/>
    <w:rsid w:val="004964F1"/>
    <w:rsid w:val="004970ED"/>
    <w:rsid w:val="00497AEF"/>
    <w:rsid w:val="00497DE3"/>
    <w:rsid w:val="00497F75"/>
    <w:rsid w:val="004A0E5E"/>
    <w:rsid w:val="004A0F24"/>
    <w:rsid w:val="004A16BC"/>
    <w:rsid w:val="004A22EA"/>
    <w:rsid w:val="004A286C"/>
    <w:rsid w:val="004A2B94"/>
    <w:rsid w:val="004A3962"/>
    <w:rsid w:val="004A3B6A"/>
    <w:rsid w:val="004A4F91"/>
    <w:rsid w:val="004A7437"/>
    <w:rsid w:val="004A773F"/>
    <w:rsid w:val="004B0831"/>
    <w:rsid w:val="004B17E7"/>
    <w:rsid w:val="004B1AB4"/>
    <w:rsid w:val="004B372E"/>
    <w:rsid w:val="004B3964"/>
    <w:rsid w:val="004B3C4F"/>
    <w:rsid w:val="004B3EBF"/>
    <w:rsid w:val="004B5071"/>
    <w:rsid w:val="004B5308"/>
    <w:rsid w:val="004B5AB1"/>
    <w:rsid w:val="004B6187"/>
    <w:rsid w:val="004B64A8"/>
    <w:rsid w:val="004B6CFC"/>
    <w:rsid w:val="004B6F6A"/>
    <w:rsid w:val="004B7C0C"/>
    <w:rsid w:val="004C0E28"/>
    <w:rsid w:val="004C13F2"/>
    <w:rsid w:val="004C20CA"/>
    <w:rsid w:val="004C22B3"/>
    <w:rsid w:val="004C31C4"/>
    <w:rsid w:val="004C3898"/>
    <w:rsid w:val="004C3D69"/>
    <w:rsid w:val="004C3FA6"/>
    <w:rsid w:val="004C5429"/>
    <w:rsid w:val="004C57D7"/>
    <w:rsid w:val="004C5F1A"/>
    <w:rsid w:val="004C6486"/>
    <w:rsid w:val="004C6F2F"/>
    <w:rsid w:val="004C79B6"/>
    <w:rsid w:val="004D0709"/>
    <w:rsid w:val="004D070B"/>
    <w:rsid w:val="004D0DE5"/>
    <w:rsid w:val="004D18FD"/>
    <w:rsid w:val="004D2AC2"/>
    <w:rsid w:val="004D2CBD"/>
    <w:rsid w:val="004D3476"/>
    <w:rsid w:val="004D36B1"/>
    <w:rsid w:val="004D390C"/>
    <w:rsid w:val="004D6737"/>
    <w:rsid w:val="004D6FB3"/>
    <w:rsid w:val="004D7EBD"/>
    <w:rsid w:val="004E07C1"/>
    <w:rsid w:val="004E2680"/>
    <w:rsid w:val="004E28F9"/>
    <w:rsid w:val="004E2C44"/>
    <w:rsid w:val="004E462E"/>
    <w:rsid w:val="004E49CE"/>
    <w:rsid w:val="004E511A"/>
    <w:rsid w:val="004E56DC"/>
    <w:rsid w:val="004E64FA"/>
    <w:rsid w:val="004E6F3A"/>
    <w:rsid w:val="004E76F4"/>
    <w:rsid w:val="004E7EAE"/>
    <w:rsid w:val="004F0511"/>
    <w:rsid w:val="004F0B4E"/>
    <w:rsid w:val="004F0B6C"/>
    <w:rsid w:val="004F1349"/>
    <w:rsid w:val="004F2078"/>
    <w:rsid w:val="004F3861"/>
    <w:rsid w:val="004F38C7"/>
    <w:rsid w:val="004F3EDC"/>
    <w:rsid w:val="004F4DA3"/>
    <w:rsid w:val="004F7290"/>
    <w:rsid w:val="00500476"/>
    <w:rsid w:val="00501F16"/>
    <w:rsid w:val="00502123"/>
    <w:rsid w:val="00502165"/>
    <w:rsid w:val="00504111"/>
    <w:rsid w:val="00506557"/>
    <w:rsid w:val="0050677A"/>
    <w:rsid w:val="00506C23"/>
    <w:rsid w:val="00507C20"/>
    <w:rsid w:val="005101CA"/>
    <w:rsid w:val="005105C1"/>
    <w:rsid w:val="005108D8"/>
    <w:rsid w:val="005116F9"/>
    <w:rsid w:val="00511FB3"/>
    <w:rsid w:val="00512274"/>
    <w:rsid w:val="00513374"/>
    <w:rsid w:val="00513781"/>
    <w:rsid w:val="0051485A"/>
    <w:rsid w:val="00514E2D"/>
    <w:rsid w:val="005152FF"/>
    <w:rsid w:val="005153A7"/>
    <w:rsid w:val="00516AF4"/>
    <w:rsid w:val="00517F4A"/>
    <w:rsid w:val="005218D3"/>
    <w:rsid w:val="005219CF"/>
    <w:rsid w:val="00524810"/>
    <w:rsid w:val="00525065"/>
    <w:rsid w:val="0052548B"/>
    <w:rsid w:val="0052634B"/>
    <w:rsid w:val="005267AD"/>
    <w:rsid w:val="0053020F"/>
    <w:rsid w:val="00530320"/>
    <w:rsid w:val="005303B2"/>
    <w:rsid w:val="00530E18"/>
    <w:rsid w:val="005316BD"/>
    <w:rsid w:val="005321A3"/>
    <w:rsid w:val="00532319"/>
    <w:rsid w:val="00532920"/>
    <w:rsid w:val="00534307"/>
    <w:rsid w:val="00534398"/>
    <w:rsid w:val="00534B59"/>
    <w:rsid w:val="00535B93"/>
    <w:rsid w:val="005361CD"/>
    <w:rsid w:val="00536759"/>
    <w:rsid w:val="00537AAE"/>
    <w:rsid w:val="00537C62"/>
    <w:rsid w:val="00540FEC"/>
    <w:rsid w:val="00541D8C"/>
    <w:rsid w:val="00541DD3"/>
    <w:rsid w:val="005426CA"/>
    <w:rsid w:val="00542BC8"/>
    <w:rsid w:val="00542DDE"/>
    <w:rsid w:val="00542FB8"/>
    <w:rsid w:val="00543807"/>
    <w:rsid w:val="00544B67"/>
    <w:rsid w:val="005454E0"/>
    <w:rsid w:val="005459AA"/>
    <w:rsid w:val="00546970"/>
    <w:rsid w:val="005512CE"/>
    <w:rsid w:val="00551356"/>
    <w:rsid w:val="005530EB"/>
    <w:rsid w:val="005535BE"/>
    <w:rsid w:val="0055372C"/>
    <w:rsid w:val="00554369"/>
    <w:rsid w:val="00554AB7"/>
    <w:rsid w:val="00554B95"/>
    <w:rsid w:val="00554E19"/>
    <w:rsid w:val="00555453"/>
    <w:rsid w:val="00555FB3"/>
    <w:rsid w:val="005562F5"/>
    <w:rsid w:val="00556ED3"/>
    <w:rsid w:val="00557503"/>
    <w:rsid w:val="00560E36"/>
    <w:rsid w:val="00560E73"/>
    <w:rsid w:val="0056121F"/>
    <w:rsid w:val="00561BE8"/>
    <w:rsid w:val="005627B2"/>
    <w:rsid w:val="00562D22"/>
    <w:rsid w:val="005630A0"/>
    <w:rsid w:val="00563CD5"/>
    <w:rsid w:val="00564664"/>
    <w:rsid w:val="00564FFC"/>
    <w:rsid w:val="00567B8F"/>
    <w:rsid w:val="005715CB"/>
    <w:rsid w:val="00572505"/>
    <w:rsid w:val="00572517"/>
    <w:rsid w:val="00573E06"/>
    <w:rsid w:val="00573EA4"/>
    <w:rsid w:val="00574035"/>
    <w:rsid w:val="005754A7"/>
    <w:rsid w:val="005762F6"/>
    <w:rsid w:val="00576B91"/>
    <w:rsid w:val="00577160"/>
    <w:rsid w:val="005806FB"/>
    <w:rsid w:val="00580754"/>
    <w:rsid w:val="00581369"/>
    <w:rsid w:val="005817F3"/>
    <w:rsid w:val="00582809"/>
    <w:rsid w:val="0058288A"/>
    <w:rsid w:val="00582B32"/>
    <w:rsid w:val="00583631"/>
    <w:rsid w:val="00583A38"/>
    <w:rsid w:val="005841A4"/>
    <w:rsid w:val="00584AF9"/>
    <w:rsid w:val="00584C3D"/>
    <w:rsid w:val="00587437"/>
    <w:rsid w:val="0058798C"/>
    <w:rsid w:val="005900FA"/>
    <w:rsid w:val="005902DE"/>
    <w:rsid w:val="005906D2"/>
    <w:rsid w:val="00591EED"/>
    <w:rsid w:val="00592FC4"/>
    <w:rsid w:val="005933DA"/>
    <w:rsid w:val="005935A4"/>
    <w:rsid w:val="0059398B"/>
    <w:rsid w:val="00593A33"/>
    <w:rsid w:val="00593B47"/>
    <w:rsid w:val="0059425D"/>
    <w:rsid w:val="0059460F"/>
    <w:rsid w:val="005948C2"/>
    <w:rsid w:val="00594C21"/>
    <w:rsid w:val="00594EE1"/>
    <w:rsid w:val="005951B8"/>
    <w:rsid w:val="00595528"/>
    <w:rsid w:val="00595588"/>
    <w:rsid w:val="00595DCA"/>
    <w:rsid w:val="0059647D"/>
    <w:rsid w:val="00596985"/>
    <w:rsid w:val="00596A4D"/>
    <w:rsid w:val="005970F7"/>
    <w:rsid w:val="005974B3"/>
    <w:rsid w:val="0059779B"/>
    <w:rsid w:val="005A044A"/>
    <w:rsid w:val="005A0532"/>
    <w:rsid w:val="005A0536"/>
    <w:rsid w:val="005A0B18"/>
    <w:rsid w:val="005A209A"/>
    <w:rsid w:val="005A31B4"/>
    <w:rsid w:val="005A31CE"/>
    <w:rsid w:val="005A3400"/>
    <w:rsid w:val="005A37F8"/>
    <w:rsid w:val="005A3B4C"/>
    <w:rsid w:val="005A47BF"/>
    <w:rsid w:val="005A4C65"/>
    <w:rsid w:val="005A5E22"/>
    <w:rsid w:val="005A6497"/>
    <w:rsid w:val="005A651F"/>
    <w:rsid w:val="005A662D"/>
    <w:rsid w:val="005A6729"/>
    <w:rsid w:val="005A67D6"/>
    <w:rsid w:val="005A754E"/>
    <w:rsid w:val="005B01B9"/>
    <w:rsid w:val="005B0D58"/>
    <w:rsid w:val="005B1409"/>
    <w:rsid w:val="005B1E0D"/>
    <w:rsid w:val="005B2899"/>
    <w:rsid w:val="005B2A36"/>
    <w:rsid w:val="005B2D05"/>
    <w:rsid w:val="005B349B"/>
    <w:rsid w:val="005B35D7"/>
    <w:rsid w:val="005B392A"/>
    <w:rsid w:val="005B3AA3"/>
    <w:rsid w:val="005B4D4E"/>
    <w:rsid w:val="005B60E3"/>
    <w:rsid w:val="005B6F83"/>
    <w:rsid w:val="005B75C3"/>
    <w:rsid w:val="005B779D"/>
    <w:rsid w:val="005B7D1C"/>
    <w:rsid w:val="005C0025"/>
    <w:rsid w:val="005C1053"/>
    <w:rsid w:val="005C1CC1"/>
    <w:rsid w:val="005C20E7"/>
    <w:rsid w:val="005C39D7"/>
    <w:rsid w:val="005C53CD"/>
    <w:rsid w:val="005C74FB"/>
    <w:rsid w:val="005D1602"/>
    <w:rsid w:val="005D3514"/>
    <w:rsid w:val="005D60F3"/>
    <w:rsid w:val="005D6C80"/>
    <w:rsid w:val="005D7C6C"/>
    <w:rsid w:val="005E0A3D"/>
    <w:rsid w:val="005E0B33"/>
    <w:rsid w:val="005E209E"/>
    <w:rsid w:val="005E2189"/>
    <w:rsid w:val="005E21CB"/>
    <w:rsid w:val="005E2F9A"/>
    <w:rsid w:val="005E3350"/>
    <w:rsid w:val="005E368C"/>
    <w:rsid w:val="005E36FC"/>
    <w:rsid w:val="005E385F"/>
    <w:rsid w:val="005E519E"/>
    <w:rsid w:val="005E5B81"/>
    <w:rsid w:val="005E5B99"/>
    <w:rsid w:val="005E63D1"/>
    <w:rsid w:val="005E793A"/>
    <w:rsid w:val="005E7CA2"/>
    <w:rsid w:val="005F0501"/>
    <w:rsid w:val="005F155C"/>
    <w:rsid w:val="005F28B1"/>
    <w:rsid w:val="005F2CB1"/>
    <w:rsid w:val="005F3025"/>
    <w:rsid w:val="005F3408"/>
    <w:rsid w:val="005F36FC"/>
    <w:rsid w:val="005F3981"/>
    <w:rsid w:val="005F3D29"/>
    <w:rsid w:val="005F3DBE"/>
    <w:rsid w:val="005F4A7E"/>
    <w:rsid w:val="005F4CBD"/>
    <w:rsid w:val="005F50B6"/>
    <w:rsid w:val="005F606A"/>
    <w:rsid w:val="005F618C"/>
    <w:rsid w:val="005F6ED1"/>
    <w:rsid w:val="005F70BD"/>
    <w:rsid w:val="0060011D"/>
    <w:rsid w:val="0060012A"/>
    <w:rsid w:val="00600759"/>
    <w:rsid w:val="0060158B"/>
    <w:rsid w:val="006024CC"/>
    <w:rsid w:val="00602650"/>
    <w:rsid w:val="0060283C"/>
    <w:rsid w:val="0060456E"/>
    <w:rsid w:val="00604ADC"/>
    <w:rsid w:val="00604D82"/>
    <w:rsid w:val="00604E8C"/>
    <w:rsid w:val="00604F14"/>
    <w:rsid w:val="006065AB"/>
    <w:rsid w:val="006069B6"/>
    <w:rsid w:val="00606B39"/>
    <w:rsid w:val="00606EFF"/>
    <w:rsid w:val="006106C7"/>
    <w:rsid w:val="006107E0"/>
    <w:rsid w:val="00610D63"/>
    <w:rsid w:val="00611A38"/>
    <w:rsid w:val="00611B83"/>
    <w:rsid w:val="006124AC"/>
    <w:rsid w:val="00612C84"/>
    <w:rsid w:val="00613257"/>
    <w:rsid w:val="0061391A"/>
    <w:rsid w:val="006140CD"/>
    <w:rsid w:val="00614E89"/>
    <w:rsid w:val="00615931"/>
    <w:rsid w:val="00616BAB"/>
    <w:rsid w:val="0062004A"/>
    <w:rsid w:val="00620A71"/>
    <w:rsid w:val="00620B79"/>
    <w:rsid w:val="00620D66"/>
    <w:rsid w:val="00620D80"/>
    <w:rsid w:val="00621262"/>
    <w:rsid w:val="00621CB2"/>
    <w:rsid w:val="00622422"/>
    <w:rsid w:val="00623306"/>
    <w:rsid w:val="006234A6"/>
    <w:rsid w:val="00623FE6"/>
    <w:rsid w:val="00624288"/>
    <w:rsid w:val="00625110"/>
    <w:rsid w:val="00625216"/>
    <w:rsid w:val="00626BDC"/>
    <w:rsid w:val="00626D21"/>
    <w:rsid w:val="00630001"/>
    <w:rsid w:val="00630D17"/>
    <w:rsid w:val="00630E9E"/>
    <w:rsid w:val="006311B3"/>
    <w:rsid w:val="00631F2F"/>
    <w:rsid w:val="00631F90"/>
    <w:rsid w:val="0063284C"/>
    <w:rsid w:val="00632E3D"/>
    <w:rsid w:val="0063371B"/>
    <w:rsid w:val="0063447C"/>
    <w:rsid w:val="00634DFE"/>
    <w:rsid w:val="00636026"/>
    <w:rsid w:val="00636114"/>
    <w:rsid w:val="00636398"/>
    <w:rsid w:val="006368D3"/>
    <w:rsid w:val="006377EC"/>
    <w:rsid w:val="00640F11"/>
    <w:rsid w:val="006410C7"/>
    <w:rsid w:val="0064151F"/>
    <w:rsid w:val="00641533"/>
    <w:rsid w:val="00641AB4"/>
    <w:rsid w:val="00641B4B"/>
    <w:rsid w:val="00641C5B"/>
    <w:rsid w:val="00642003"/>
    <w:rsid w:val="0064208D"/>
    <w:rsid w:val="00643475"/>
    <w:rsid w:val="0064396A"/>
    <w:rsid w:val="0064624E"/>
    <w:rsid w:val="00650AB9"/>
    <w:rsid w:val="006552B4"/>
    <w:rsid w:val="00655733"/>
    <w:rsid w:val="006558E3"/>
    <w:rsid w:val="00655ACD"/>
    <w:rsid w:val="0065641B"/>
    <w:rsid w:val="00656A92"/>
    <w:rsid w:val="00656DDE"/>
    <w:rsid w:val="0066011D"/>
    <w:rsid w:val="00660630"/>
    <w:rsid w:val="006607C0"/>
    <w:rsid w:val="0066111F"/>
    <w:rsid w:val="006612F4"/>
    <w:rsid w:val="006613A6"/>
    <w:rsid w:val="00661E18"/>
    <w:rsid w:val="00662169"/>
    <w:rsid w:val="006627A2"/>
    <w:rsid w:val="006634E6"/>
    <w:rsid w:val="00664BDF"/>
    <w:rsid w:val="006655EE"/>
    <w:rsid w:val="00666462"/>
    <w:rsid w:val="006667E4"/>
    <w:rsid w:val="00667841"/>
    <w:rsid w:val="00667EE7"/>
    <w:rsid w:val="00670922"/>
    <w:rsid w:val="00670BE1"/>
    <w:rsid w:val="00670CD5"/>
    <w:rsid w:val="0067218F"/>
    <w:rsid w:val="0067280B"/>
    <w:rsid w:val="00673633"/>
    <w:rsid w:val="006741F2"/>
    <w:rsid w:val="00674881"/>
    <w:rsid w:val="00674A7A"/>
    <w:rsid w:val="00674CC3"/>
    <w:rsid w:val="00675B7B"/>
    <w:rsid w:val="00675C72"/>
    <w:rsid w:val="00676FDE"/>
    <w:rsid w:val="00677002"/>
    <w:rsid w:val="006771F9"/>
    <w:rsid w:val="006776D7"/>
    <w:rsid w:val="00680CE6"/>
    <w:rsid w:val="00681003"/>
    <w:rsid w:val="006811DD"/>
    <w:rsid w:val="00681307"/>
    <w:rsid w:val="006816D1"/>
    <w:rsid w:val="006817C9"/>
    <w:rsid w:val="00681900"/>
    <w:rsid w:val="00682441"/>
    <w:rsid w:val="00683ECE"/>
    <w:rsid w:val="006848F3"/>
    <w:rsid w:val="00685077"/>
    <w:rsid w:val="006853A9"/>
    <w:rsid w:val="00685FB4"/>
    <w:rsid w:val="00686705"/>
    <w:rsid w:val="00686833"/>
    <w:rsid w:val="00686D22"/>
    <w:rsid w:val="00687F0A"/>
    <w:rsid w:val="006903FA"/>
    <w:rsid w:val="006906EC"/>
    <w:rsid w:val="006908AB"/>
    <w:rsid w:val="00690D6E"/>
    <w:rsid w:val="00691F1B"/>
    <w:rsid w:val="006927FB"/>
    <w:rsid w:val="00692BA6"/>
    <w:rsid w:val="00692E33"/>
    <w:rsid w:val="00693D39"/>
    <w:rsid w:val="006940FC"/>
    <w:rsid w:val="00694B35"/>
    <w:rsid w:val="00694E0D"/>
    <w:rsid w:val="0069541A"/>
    <w:rsid w:val="00695F2D"/>
    <w:rsid w:val="00695FC2"/>
    <w:rsid w:val="00696949"/>
    <w:rsid w:val="00696C28"/>
    <w:rsid w:val="0069701D"/>
    <w:rsid w:val="00697052"/>
    <w:rsid w:val="00697719"/>
    <w:rsid w:val="00697FCF"/>
    <w:rsid w:val="006A0770"/>
    <w:rsid w:val="006A134A"/>
    <w:rsid w:val="006A15F9"/>
    <w:rsid w:val="006A2216"/>
    <w:rsid w:val="006A28DD"/>
    <w:rsid w:val="006A3DB4"/>
    <w:rsid w:val="006A45DD"/>
    <w:rsid w:val="006A46FB"/>
    <w:rsid w:val="006A4849"/>
    <w:rsid w:val="006A4AEF"/>
    <w:rsid w:val="006A5E28"/>
    <w:rsid w:val="006A634E"/>
    <w:rsid w:val="006A697B"/>
    <w:rsid w:val="006A6F63"/>
    <w:rsid w:val="006A7AFF"/>
    <w:rsid w:val="006B0871"/>
    <w:rsid w:val="006B1816"/>
    <w:rsid w:val="006B2099"/>
    <w:rsid w:val="006B2183"/>
    <w:rsid w:val="006B27D7"/>
    <w:rsid w:val="006B35A8"/>
    <w:rsid w:val="006B3A78"/>
    <w:rsid w:val="006B3F74"/>
    <w:rsid w:val="006B44AB"/>
    <w:rsid w:val="006B50CF"/>
    <w:rsid w:val="006B63BA"/>
    <w:rsid w:val="006B6937"/>
    <w:rsid w:val="006B6A71"/>
    <w:rsid w:val="006B6C71"/>
    <w:rsid w:val="006C00EB"/>
    <w:rsid w:val="006C03B8"/>
    <w:rsid w:val="006C0760"/>
    <w:rsid w:val="006C0951"/>
    <w:rsid w:val="006C0FC1"/>
    <w:rsid w:val="006C1917"/>
    <w:rsid w:val="006C1F36"/>
    <w:rsid w:val="006C21CD"/>
    <w:rsid w:val="006C2284"/>
    <w:rsid w:val="006C28CE"/>
    <w:rsid w:val="006C2B02"/>
    <w:rsid w:val="006C4A3A"/>
    <w:rsid w:val="006C4CE9"/>
    <w:rsid w:val="006C569C"/>
    <w:rsid w:val="006C5CB4"/>
    <w:rsid w:val="006C5EC9"/>
    <w:rsid w:val="006C5FA6"/>
    <w:rsid w:val="006C6059"/>
    <w:rsid w:val="006C61BF"/>
    <w:rsid w:val="006C6862"/>
    <w:rsid w:val="006C7522"/>
    <w:rsid w:val="006C782E"/>
    <w:rsid w:val="006C7831"/>
    <w:rsid w:val="006D0536"/>
    <w:rsid w:val="006D091E"/>
    <w:rsid w:val="006D0F72"/>
    <w:rsid w:val="006D17A9"/>
    <w:rsid w:val="006D22E4"/>
    <w:rsid w:val="006D2E34"/>
    <w:rsid w:val="006D407C"/>
    <w:rsid w:val="006D45FC"/>
    <w:rsid w:val="006D470F"/>
    <w:rsid w:val="006D6F08"/>
    <w:rsid w:val="006D715A"/>
    <w:rsid w:val="006D7269"/>
    <w:rsid w:val="006E062C"/>
    <w:rsid w:val="006E1C82"/>
    <w:rsid w:val="006E25E0"/>
    <w:rsid w:val="006E25E7"/>
    <w:rsid w:val="006E274A"/>
    <w:rsid w:val="006E28B7"/>
    <w:rsid w:val="006E2A9B"/>
    <w:rsid w:val="006E2C94"/>
    <w:rsid w:val="006E2F42"/>
    <w:rsid w:val="006E3310"/>
    <w:rsid w:val="006E437B"/>
    <w:rsid w:val="006E4B94"/>
    <w:rsid w:val="006E4E39"/>
    <w:rsid w:val="006E565E"/>
    <w:rsid w:val="006E5EF5"/>
    <w:rsid w:val="006E64A1"/>
    <w:rsid w:val="006E673D"/>
    <w:rsid w:val="006E7452"/>
    <w:rsid w:val="006E7D3B"/>
    <w:rsid w:val="006F06BC"/>
    <w:rsid w:val="006F14C6"/>
    <w:rsid w:val="006F1B70"/>
    <w:rsid w:val="006F2112"/>
    <w:rsid w:val="006F21E4"/>
    <w:rsid w:val="006F2268"/>
    <w:rsid w:val="006F2F12"/>
    <w:rsid w:val="006F3088"/>
    <w:rsid w:val="006F336F"/>
    <w:rsid w:val="006F341D"/>
    <w:rsid w:val="006F3CDE"/>
    <w:rsid w:val="006F3D80"/>
    <w:rsid w:val="006F3EE1"/>
    <w:rsid w:val="006F4227"/>
    <w:rsid w:val="006F549D"/>
    <w:rsid w:val="006F58D4"/>
    <w:rsid w:val="006F5F64"/>
    <w:rsid w:val="006F6582"/>
    <w:rsid w:val="006F671B"/>
    <w:rsid w:val="006F702F"/>
    <w:rsid w:val="00701C3E"/>
    <w:rsid w:val="00701FBE"/>
    <w:rsid w:val="00702414"/>
    <w:rsid w:val="0070346E"/>
    <w:rsid w:val="0070493F"/>
    <w:rsid w:val="00704EDB"/>
    <w:rsid w:val="00705DF5"/>
    <w:rsid w:val="00706101"/>
    <w:rsid w:val="00706D90"/>
    <w:rsid w:val="00706DE3"/>
    <w:rsid w:val="00707072"/>
    <w:rsid w:val="00707D01"/>
    <w:rsid w:val="00707D61"/>
    <w:rsid w:val="007118D9"/>
    <w:rsid w:val="00711FC4"/>
    <w:rsid w:val="00712287"/>
    <w:rsid w:val="00712503"/>
    <w:rsid w:val="00712772"/>
    <w:rsid w:val="00712F74"/>
    <w:rsid w:val="0071334F"/>
    <w:rsid w:val="00714286"/>
    <w:rsid w:val="00714365"/>
    <w:rsid w:val="007148D3"/>
    <w:rsid w:val="00714D4E"/>
    <w:rsid w:val="00715B9A"/>
    <w:rsid w:val="00715D66"/>
    <w:rsid w:val="00715D98"/>
    <w:rsid w:val="00715DDB"/>
    <w:rsid w:val="00716CFB"/>
    <w:rsid w:val="00716EDB"/>
    <w:rsid w:val="0071758E"/>
    <w:rsid w:val="00717738"/>
    <w:rsid w:val="0071794E"/>
    <w:rsid w:val="0072075F"/>
    <w:rsid w:val="007225BC"/>
    <w:rsid w:val="00722CEB"/>
    <w:rsid w:val="007242A0"/>
    <w:rsid w:val="00724EF0"/>
    <w:rsid w:val="0072550D"/>
    <w:rsid w:val="007257D0"/>
    <w:rsid w:val="007268F5"/>
    <w:rsid w:val="0072690B"/>
    <w:rsid w:val="00726EA6"/>
    <w:rsid w:val="00727208"/>
    <w:rsid w:val="007274FB"/>
    <w:rsid w:val="00727680"/>
    <w:rsid w:val="0073056B"/>
    <w:rsid w:val="007305ED"/>
    <w:rsid w:val="00730DD2"/>
    <w:rsid w:val="00730FA1"/>
    <w:rsid w:val="0073249D"/>
    <w:rsid w:val="007324D6"/>
    <w:rsid w:val="00732A07"/>
    <w:rsid w:val="00733BF2"/>
    <w:rsid w:val="007348B1"/>
    <w:rsid w:val="00734E21"/>
    <w:rsid w:val="00735574"/>
    <w:rsid w:val="00736074"/>
    <w:rsid w:val="007362A6"/>
    <w:rsid w:val="00736D7D"/>
    <w:rsid w:val="00737064"/>
    <w:rsid w:val="007405FF"/>
    <w:rsid w:val="00740E58"/>
    <w:rsid w:val="00740E84"/>
    <w:rsid w:val="00740EA7"/>
    <w:rsid w:val="007425E9"/>
    <w:rsid w:val="007428E2"/>
    <w:rsid w:val="0074321E"/>
    <w:rsid w:val="007444AB"/>
    <w:rsid w:val="007445A0"/>
    <w:rsid w:val="0074524B"/>
    <w:rsid w:val="00745280"/>
    <w:rsid w:val="00745CE5"/>
    <w:rsid w:val="00745EAD"/>
    <w:rsid w:val="007460B3"/>
    <w:rsid w:val="007460D2"/>
    <w:rsid w:val="00746504"/>
    <w:rsid w:val="00747D8B"/>
    <w:rsid w:val="00751228"/>
    <w:rsid w:val="007525C7"/>
    <w:rsid w:val="00752B2F"/>
    <w:rsid w:val="00752C38"/>
    <w:rsid w:val="00753934"/>
    <w:rsid w:val="00755595"/>
    <w:rsid w:val="00756095"/>
    <w:rsid w:val="0075651F"/>
    <w:rsid w:val="00756ABD"/>
    <w:rsid w:val="00756F00"/>
    <w:rsid w:val="007571E1"/>
    <w:rsid w:val="0075726A"/>
    <w:rsid w:val="007574B3"/>
    <w:rsid w:val="00757822"/>
    <w:rsid w:val="0075794D"/>
    <w:rsid w:val="007604B2"/>
    <w:rsid w:val="007604F1"/>
    <w:rsid w:val="0076204E"/>
    <w:rsid w:val="0076279A"/>
    <w:rsid w:val="0076301C"/>
    <w:rsid w:val="007645B9"/>
    <w:rsid w:val="00765281"/>
    <w:rsid w:val="00766132"/>
    <w:rsid w:val="007669D4"/>
    <w:rsid w:val="00766B87"/>
    <w:rsid w:val="00766BAD"/>
    <w:rsid w:val="00767DA6"/>
    <w:rsid w:val="007715CF"/>
    <w:rsid w:val="0077189D"/>
    <w:rsid w:val="00771F56"/>
    <w:rsid w:val="007720EA"/>
    <w:rsid w:val="007729A2"/>
    <w:rsid w:val="007732FE"/>
    <w:rsid w:val="007735F4"/>
    <w:rsid w:val="00773C25"/>
    <w:rsid w:val="00773C8B"/>
    <w:rsid w:val="00774155"/>
    <w:rsid w:val="007755F2"/>
    <w:rsid w:val="00775CE5"/>
    <w:rsid w:val="00776853"/>
    <w:rsid w:val="00776971"/>
    <w:rsid w:val="007774F9"/>
    <w:rsid w:val="0077751C"/>
    <w:rsid w:val="007777AD"/>
    <w:rsid w:val="007777EC"/>
    <w:rsid w:val="00780380"/>
    <w:rsid w:val="0078097D"/>
    <w:rsid w:val="00780A80"/>
    <w:rsid w:val="0078107F"/>
    <w:rsid w:val="007812CB"/>
    <w:rsid w:val="0078177E"/>
    <w:rsid w:val="00781984"/>
    <w:rsid w:val="007828B0"/>
    <w:rsid w:val="00783013"/>
    <w:rsid w:val="0078304C"/>
    <w:rsid w:val="00783673"/>
    <w:rsid w:val="007840E7"/>
    <w:rsid w:val="00784D38"/>
    <w:rsid w:val="00785490"/>
    <w:rsid w:val="007855E5"/>
    <w:rsid w:val="00785688"/>
    <w:rsid w:val="00786B3E"/>
    <w:rsid w:val="00787E39"/>
    <w:rsid w:val="00790AEA"/>
    <w:rsid w:val="00791555"/>
    <w:rsid w:val="007918E2"/>
    <w:rsid w:val="007919E3"/>
    <w:rsid w:val="007925EA"/>
    <w:rsid w:val="00792A48"/>
    <w:rsid w:val="00793551"/>
    <w:rsid w:val="00793CD8"/>
    <w:rsid w:val="0079497D"/>
    <w:rsid w:val="00795A01"/>
    <w:rsid w:val="00795A55"/>
    <w:rsid w:val="00795C92"/>
    <w:rsid w:val="007960B3"/>
    <w:rsid w:val="00796231"/>
    <w:rsid w:val="00797C69"/>
    <w:rsid w:val="00797FD0"/>
    <w:rsid w:val="007A1CB3"/>
    <w:rsid w:val="007A1D3B"/>
    <w:rsid w:val="007A1F60"/>
    <w:rsid w:val="007A306F"/>
    <w:rsid w:val="007A4127"/>
    <w:rsid w:val="007A43A6"/>
    <w:rsid w:val="007A4A63"/>
    <w:rsid w:val="007A581E"/>
    <w:rsid w:val="007A58A6"/>
    <w:rsid w:val="007A5AAA"/>
    <w:rsid w:val="007A6236"/>
    <w:rsid w:val="007A65B0"/>
    <w:rsid w:val="007A6ADE"/>
    <w:rsid w:val="007A75E1"/>
    <w:rsid w:val="007A7609"/>
    <w:rsid w:val="007A7B04"/>
    <w:rsid w:val="007A7EA4"/>
    <w:rsid w:val="007B05AE"/>
    <w:rsid w:val="007B1448"/>
    <w:rsid w:val="007B20AB"/>
    <w:rsid w:val="007B255A"/>
    <w:rsid w:val="007B3D2D"/>
    <w:rsid w:val="007B3F6B"/>
    <w:rsid w:val="007B43E4"/>
    <w:rsid w:val="007B50AE"/>
    <w:rsid w:val="007B51DF"/>
    <w:rsid w:val="007B52FE"/>
    <w:rsid w:val="007B5EF9"/>
    <w:rsid w:val="007B7188"/>
    <w:rsid w:val="007B778F"/>
    <w:rsid w:val="007C05DD"/>
    <w:rsid w:val="007C068D"/>
    <w:rsid w:val="007C0C62"/>
    <w:rsid w:val="007C0FFE"/>
    <w:rsid w:val="007C178D"/>
    <w:rsid w:val="007C277B"/>
    <w:rsid w:val="007C3D18"/>
    <w:rsid w:val="007C5142"/>
    <w:rsid w:val="007C57EA"/>
    <w:rsid w:val="007C5A15"/>
    <w:rsid w:val="007C60BF"/>
    <w:rsid w:val="007C6A07"/>
    <w:rsid w:val="007C75A1"/>
    <w:rsid w:val="007C77A5"/>
    <w:rsid w:val="007D0398"/>
    <w:rsid w:val="007D04E5"/>
    <w:rsid w:val="007D0708"/>
    <w:rsid w:val="007D366A"/>
    <w:rsid w:val="007D5019"/>
    <w:rsid w:val="007D589B"/>
    <w:rsid w:val="007D5901"/>
    <w:rsid w:val="007D5B78"/>
    <w:rsid w:val="007D709D"/>
    <w:rsid w:val="007D7526"/>
    <w:rsid w:val="007D7570"/>
    <w:rsid w:val="007D77ED"/>
    <w:rsid w:val="007D7C44"/>
    <w:rsid w:val="007E0643"/>
    <w:rsid w:val="007E12E4"/>
    <w:rsid w:val="007E16B4"/>
    <w:rsid w:val="007E1C0A"/>
    <w:rsid w:val="007E4554"/>
    <w:rsid w:val="007E4610"/>
    <w:rsid w:val="007E4715"/>
    <w:rsid w:val="007E4799"/>
    <w:rsid w:val="007E485C"/>
    <w:rsid w:val="007E495D"/>
    <w:rsid w:val="007E505B"/>
    <w:rsid w:val="007E5DE0"/>
    <w:rsid w:val="007E5FAA"/>
    <w:rsid w:val="007E65AB"/>
    <w:rsid w:val="007E6D7A"/>
    <w:rsid w:val="007E6DFE"/>
    <w:rsid w:val="007E7091"/>
    <w:rsid w:val="007E7627"/>
    <w:rsid w:val="007E7761"/>
    <w:rsid w:val="007E78DE"/>
    <w:rsid w:val="007F01EB"/>
    <w:rsid w:val="007F0C5D"/>
    <w:rsid w:val="007F1B14"/>
    <w:rsid w:val="007F31E0"/>
    <w:rsid w:val="007F48D2"/>
    <w:rsid w:val="007F549D"/>
    <w:rsid w:val="007F6C11"/>
    <w:rsid w:val="007F6CF0"/>
    <w:rsid w:val="007F6E74"/>
    <w:rsid w:val="007F78BE"/>
    <w:rsid w:val="007F7D0A"/>
    <w:rsid w:val="00800C46"/>
    <w:rsid w:val="00802673"/>
    <w:rsid w:val="00802BEC"/>
    <w:rsid w:val="00803FAE"/>
    <w:rsid w:val="00804284"/>
    <w:rsid w:val="00804A51"/>
    <w:rsid w:val="0080549F"/>
    <w:rsid w:val="0080605F"/>
    <w:rsid w:val="0080648E"/>
    <w:rsid w:val="00806BC5"/>
    <w:rsid w:val="00807786"/>
    <w:rsid w:val="0081075F"/>
    <w:rsid w:val="00811FCB"/>
    <w:rsid w:val="008124D0"/>
    <w:rsid w:val="00812AA8"/>
    <w:rsid w:val="00813113"/>
    <w:rsid w:val="0081336B"/>
    <w:rsid w:val="0081403F"/>
    <w:rsid w:val="00814336"/>
    <w:rsid w:val="00814CE4"/>
    <w:rsid w:val="00814D62"/>
    <w:rsid w:val="008158D6"/>
    <w:rsid w:val="00817196"/>
    <w:rsid w:val="00820444"/>
    <w:rsid w:val="00820556"/>
    <w:rsid w:val="008219EE"/>
    <w:rsid w:val="0082327B"/>
    <w:rsid w:val="008235DB"/>
    <w:rsid w:val="00824A31"/>
    <w:rsid w:val="00824AB4"/>
    <w:rsid w:val="00825C42"/>
    <w:rsid w:val="00825D25"/>
    <w:rsid w:val="008260BA"/>
    <w:rsid w:val="00826B0F"/>
    <w:rsid w:val="008276DA"/>
    <w:rsid w:val="00827912"/>
    <w:rsid w:val="00827D6F"/>
    <w:rsid w:val="00827F3F"/>
    <w:rsid w:val="008303CC"/>
    <w:rsid w:val="008306E5"/>
    <w:rsid w:val="00830B2B"/>
    <w:rsid w:val="00831401"/>
    <w:rsid w:val="008319A2"/>
    <w:rsid w:val="00832577"/>
    <w:rsid w:val="00832A19"/>
    <w:rsid w:val="00832F61"/>
    <w:rsid w:val="0083308B"/>
    <w:rsid w:val="00833D31"/>
    <w:rsid w:val="008346AF"/>
    <w:rsid w:val="0083517C"/>
    <w:rsid w:val="008356DC"/>
    <w:rsid w:val="00836A7D"/>
    <w:rsid w:val="008376AC"/>
    <w:rsid w:val="00837DCA"/>
    <w:rsid w:val="00837E55"/>
    <w:rsid w:val="008400EF"/>
    <w:rsid w:val="00840D32"/>
    <w:rsid w:val="00840DF8"/>
    <w:rsid w:val="00840F00"/>
    <w:rsid w:val="00840F04"/>
    <w:rsid w:val="008416F1"/>
    <w:rsid w:val="00841ACA"/>
    <w:rsid w:val="00841BE2"/>
    <w:rsid w:val="00842053"/>
    <w:rsid w:val="00842595"/>
    <w:rsid w:val="00842778"/>
    <w:rsid w:val="00842AF6"/>
    <w:rsid w:val="008432FD"/>
    <w:rsid w:val="008438D1"/>
    <w:rsid w:val="0084396B"/>
    <w:rsid w:val="008444E8"/>
    <w:rsid w:val="0084489B"/>
    <w:rsid w:val="008448DF"/>
    <w:rsid w:val="00844BE3"/>
    <w:rsid w:val="00844E80"/>
    <w:rsid w:val="008464D7"/>
    <w:rsid w:val="00846FE7"/>
    <w:rsid w:val="00847302"/>
    <w:rsid w:val="00850DB6"/>
    <w:rsid w:val="008514E1"/>
    <w:rsid w:val="00851552"/>
    <w:rsid w:val="008523A1"/>
    <w:rsid w:val="00852503"/>
    <w:rsid w:val="00853AB2"/>
    <w:rsid w:val="008549C4"/>
    <w:rsid w:val="00855F26"/>
    <w:rsid w:val="00856911"/>
    <w:rsid w:val="008578A1"/>
    <w:rsid w:val="008602A1"/>
    <w:rsid w:val="00860BAB"/>
    <w:rsid w:val="0086186B"/>
    <w:rsid w:val="00862683"/>
    <w:rsid w:val="00862ED9"/>
    <w:rsid w:val="00865FE3"/>
    <w:rsid w:val="008677FD"/>
    <w:rsid w:val="008706D4"/>
    <w:rsid w:val="00870F8A"/>
    <w:rsid w:val="008719A4"/>
    <w:rsid w:val="00871D23"/>
    <w:rsid w:val="00872A05"/>
    <w:rsid w:val="008732C8"/>
    <w:rsid w:val="00873447"/>
    <w:rsid w:val="00874312"/>
    <w:rsid w:val="0087437C"/>
    <w:rsid w:val="008754BC"/>
    <w:rsid w:val="008758E6"/>
    <w:rsid w:val="00875CD7"/>
    <w:rsid w:val="00876437"/>
    <w:rsid w:val="00876910"/>
    <w:rsid w:val="00876B4D"/>
    <w:rsid w:val="00876C97"/>
    <w:rsid w:val="008771D8"/>
    <w:rsid w:val="00877F18"/>
    <w:rsid w:val="00880825"/>
    <w:rsid w:val="00881271"/>
    <w:rsid w:val="008815D3"/>
    <w:rsid w:val="008822FE"/>
    <w:rsid w:val="00882E76"/>
    <w:rsid w:val="008837E6"/>
    <w:rsid w:val="00884F58"/>
    <w:rsid w:val="0088568B"/>
    <w:rsid w:val="00886D13"/>
    <w:rsid w:val="00886E6B"/>
    <w:rsid w:val="00890779"/>
    <w:rsid w:val="00890D3F"/>
    <w:rsid w:val="00891206"/>
    <w:rsid w:val="00891635"/>
    <w:rsid w:val="00892A12"/>
    <w:rsid w:val="00892F51"/>
    <w:rsid w:val="008941E3"/>
    <w:rsid w:val="00894A88"/>
    <w:rsid w:val="00895386"/>
    <w:rsid w:val="0089693A"/>
    <w:rsid w:val="00896DB8"/>
    <w:rsid w:val="00897465"/>
    <w:rsid w:val="00897C3D"/>
    <w:rsid w:val="008A1353"/>
    <w:rsid w:val="008A1575"/>
    <w:rsid w:val="008A21FF"/>
    <w:rsid w:val="008A2CE2"/>
    <w:rsid w:val="008A30AC"/>
    <w:rsid w:val="008A36E9"/>
    <w:rsid w:val="008A3A4C"/>
    <w:rsid w:val="008A42A4"/>
    <w:rsid w:val="008A4345"/>
    <w:rsid w:val="008A44B8"/>
    <w:rsid w:val="008A4989"/>
    <w:rsid w:val="008A518E"/>
    <w:rsid w:val="008A51A8"/>
    <w:rsid w:val="008A54C7"/>
    <w:rsid w:val="008A5528"/>
    <w:rsid w:val="008A6273"/>
    <w:rsid w:val="008A7606"/>
    <w:rsid w:val="008A7701"/>
    <w:rsid w:val="008A77D8"/>
    <w:rsid w:val="008A7C92"/>
    <w:rsid w:val="008A7D92"/>
    <w:rsid w:val="008B032D"/>
    <w:rsid w:val="008B0483"/>
    <w:rsid w:val="008B096F"/>
    <w:rsid w:val="008B0D39"/>
    <w:rsid w:val="008B120C"/>
    <w:rsid w:val="008B15D3"/>
    <w:rsid w:val="008B319A"/>
    <w:rsid w:val="008B3247"/>
    <w:rsid w:val="008B51A0"/>
    <w:rsid w:val="008B592A"/>
    <w:rsid w:val="008B6314"/>
    <w:rsid w:val="008B6516"/>
    <w:rsid w:val="008B6DF6"/>
    <w:rsid w:val="008B7B5C"/>
    <w:rsid w:val="008C0996"/>
    <w:rsid w:val="008C0C99"/>
    <w:rsid w:val="008C0EA3"/>
    <w:rsid w:val="008C2017"/>
    <w:rsid w:val="008C2CA3"/>
    <w:rsid w:val="008C4901"/>
    <w:rsid w:val="008C4958"/>
    <w:rsid w:val="008C4BAA"/>
    <w:rsid w:val="008C519F"/>
    <w:rsid w:val="008C6AE8"/>
    <w:rsid w:val="008C6EC4"/>
    <w:rsid w:val="008C7573"/>
    <w:rsid w:val="008C7F1C"/>
    <w:rsid w:val="008D00A5"/>
    <w:rsid w:val="008D0A3B"/>
    <w:rsid w:val="008D32FC"/>
    <w:rsid w:val="008D3447"/>
    <w:rsid w:val="008D34F1"/>
    <w:rsid w:val="008D365C"/>
    <w:rsid w:val="008D39D8"/>
    <w:rsid w:val="008D4321"/>
    <w:rsid w:val="008D4AB5"/>
    <w:rsid w:val="008D52D8"/>
    <w:rsid w:val="008D5572"/>
    <w:rsid w:val="008D5878"/>
    <w:rsid w:val="008D5B20"/>
    <w:rsid w:val="008D5FF5"/>
    <w:rsid w:val="008D6D1A"/>
    <w:rsid w:val="008D710B"/>
    <w:rsid w:val="008D7B1C"/>
    <w:rsid w:val="008D7B50"/>
    <w:rsid w:val="008D7C90"/>
    <w:rsid w:val="008D7F25"/>
    <w:rsid w:val="008E00AA"/>
    <w:rsid w:val="008E065E"/>
    <w:rsid w:val="008E0927"/>
    <w:rsid w:val="008E0A51"/>
    <w:rsid w:val="008E0E95"/>
    <w:rsid w:val="008E1909"/>
    <w:rsid w:val="008E1D1D"/>
    <w:rsid w:val="008E2A3D"/>
    <w:rsid w:val="008E307F"/>
    <w:rsid w:val="008E3E52"/>
    <w:rsid w:val="008E3E9D"/>
    <w:rsid w:val="008E45C5"/>
    <w:rsid w:val="008E4EF5"/>
    <w:rsid w:val="008E5B0B"/>
    <w:rsid w:val="008E6492"/>
    <w:rsid w:val="008E6512"/>
    <w:rsid w:val="008E67C1"/>
    <w:rsid w:val="008E7345"/>
    <w:rsid w:val="008E757B"/>
    <w:rsid w:val="008E7B46"/>
    <w:rsid w:val="008F033B"/>
    <w:rsid w:val="008F0EAD"/>
    <w:rsid w:val="008F1C4E"/>
    <w:rsid w:val="008F1EAB"/>
    <w:rsid w:val="008F2FD7"/>
    <w:rsid w:val="008F33DC"/>
    <w:rsid w:val="008F477F"/>
    <w:rsid w:val="008F4F3D"/>
    <w:rsid w:val="008F6307"/>
    <w:rsid w:val="008F685D"/>
    <w:rsid w:val="008F6D4D"/>
    <w:rsid w:val="008F6DC0"/>
    <w:rsid w:val="00900272"/>
    <w:rsid w:val="0090038F"/>
    <w:rsid w:val="00900B0B"/>
    <w:rsid w:val="00900E7F"/>
    <w:rsid w:val="0090112F"/>
    <w:rsid w:val="0090204B"/>
    <w:rsid w:val="00902350"/>
    <w:rsid w:val="00902F35"/>
    <w:rsid w:val="0090336B"/>
    <w:rsid w:val="00903499"/>
    <w:rsid w:val="0090481E"/>
    <w:rsid w:val="00905131"/>
    <w:rsid w:val="009053AA"/>
    <w:rsid w:val="0090558B"/>
    <w:rsid w:val="00905C49"/>
    <w:rsid w:val="0090614B"/>
    <w:rsid w:val="00906939"/>
    <w:rsid w:val="009071E7"/>
    <w:rsid w:val="009079BD"/>
    <w:rsid w:val="00907CDA"/>
    <w:rsid w:val="00910B7D"/>
    <w:rsid w:val="00910D69"/>
    <w:rsid w:val="00911171"/>
    <w:rsid w:val="00911272"/>
    <w:rsid w:val="00911DFB"/>
    <w:rsid w:val="00911F96"/>
    <w:rsid w:val="009124DF"/>
    <w:rsid w:val="009139D9"/>
    <w:rsid w:val="00914AD8"/>
    <w:rsid w:val="00916079"/>
    <w:rsid w:val="00916B25"/>
    <w:rsid w:val="00917CE9"/>
    <w:rsid w:val="00920561"/>
    <w:rsid w:val="0092075B"/>
    <w:rsid w:val="009207D1"/>
    <w:rsid w:val="00920BF2"/>
    <w:rsid w:val="0092130C"/>
    <w:rsid w:val="00921BFE"/>
    <w:rsid w:val="00922010"/>
    <w:rsid w:val="00923839"/>
    <w:rsid w:val="00923CE0"/>
    <w:rsid w:val="0092444E"/>
    <w:rsid w:val="00924D7D"/>
    <w:rsid w:val="00925B72"/>
    <w:rsid w:val="009261C2"/>
    <w:rsid w:val="009262C4"/>
    <w:rsid w:val="00927373"/>
    <w:rsid w:val="00927E12"/>
    <w:rsid w:val="00931BD9"/>
    <w:rsid w:val="009322A7"/>
    <w:rsid w:val="009322B7"/>
    <w:rsid w:val="00932B19"/>
    <w:rsid w:val="009342FC"/>
    <w:rsid w:val="00934BC7"/>
    <w:rsid w:val="00935F2C"/>
    <w:rsid w:val="00936213"/>
    <w:rsid w:val="009366FB"/>
    <w:rsid w:val="009368F3"/>
    <w:rsid w:val="00937AD3"/>
    <w:rsid w:val="00941636"/>
    <w:rsid w:val="00942292"/>
    <w:rsid w:val="00942C85"/>
    <w:rsid w:val="00943742"/>
    <w:rsid w:val="00943822"/>
    <w:rsid w:val="00943FB7"/>
    <w:rsid w:val="009440BF"/>
    <w:rsid w:val="00944D54"/>
    <w:rsid w:val="00944DE6"/>
    <w:rsid w:val="00945A5C"/>
    <w:rsid w:val="00945C05"/>
    <w:rsid w:val="00946945"/>
    <w:rsid w:val="00947713"/>
    <w:rsid w:val="009505E3"/>
    <w:rsid w:val="00950D3A"/>
    <w:rsid w:val="00950DE7"/>
    <w:rsid w:val="00952BF6"/>
    <w:rsid w:val="00952D90"/>
    <w:rsid w:val="00953207"/>
    <w:rsid w:val="0095373B"/>
    <w:rsid w:val="00953920"/>
    <w:rsid w:val="00953D47"/>
    <w:rsid w:val="009541CF"/>
    <w:rsid w:val="00955F5D"/>
    <w:rsid w:val="0095681E"/>
    <w:rsid w:val="0095686B"/>
    <w:rsid w:val="009572D4"/>
    <w:rsid w:val="009572E3"/>
    <w:rsid w:val="00957D80"/>
    <w:rsid w:val="00960856"/>
    <w:rsid w:val="00960BF7"/>
    <w:rsid w:val="00961039"/>
    <w:rsid w:val="00961921"/>
    <w:rsid w:val="00962B58"/>
    <w:rsid w:val="00963E3B"/>
    <w:rsid w:val="0096430A"/>
    <w:rsid w:val="009647F9"/>
    <w:rsid w:val="00965418"/>
    <w:rsid w:val="0096554B"/>
    <w:rsid w:val="0096584A"/>
    <w:rsid w:val="00966535"/>
    <w:rsid w:val="0096671D"/>
    <w:rsid w:val="00970048"/>
    <w:rsid w:val="00970D46"/>
    <w:rsid w:val="009714BF"/>
    <w:rsid w:val="00971E8C"/>
    <w:rsid w:val="00971F08"/>
    <w:rsid w:val="009728D5"/>
    <w:rsid w:val="00972A26"/>
    <w:rsid w:val="00972CFD"/>
    <w:rsid w:val="00974081"/>
    <w:rsid w:val="00974252"/>
    <w:rsid w:val="00974B60"/>
    <w:rsid w:val="00975C33"/>
    <w:rsid w:val="00975F43"/>
    <w:rsid w:val="0097603D"/>
    <w:rsid w:val="00976949"/>
    <w:rsid w:val="00976CE2"/>
    <w:rsid w:val="0097764B"/>
    <w:rsid w:val="009777B7"/>
    <w:rsid w:val="00977926"/>
    <w:rsid w:val="00977C7C"/>
    <w:rsid w:val="00980477"/>
    <w:rsid w:val="009806A2"/>
    <w:rsid w:val="00980ACD"/>
    <w:rsid w:val="00981652"/>
    <w:rsid w:val="0098186D"/>
    <w:rsid w:val="009820C0"/>
    <w:rsid w:val="00983370"/>
    <w:rsid w:val="0098456E"/>
    <w:rsid w:val="00984E73"/>
    <w:rsid w:val="00984EF8"/>
    <w:rsid w:val="00985253"/>
    <w:rsid w:val="009853B3"/>
    <w:rsid w:val="00985408"/>
    <w:rsid w:val="0098641D"/>
    <w:rsid w:val="00987051"/>
    <w:rsid w:val="00990053"/>
    <w:rsid w:val="00990630"/>
    <w:rsid w:val="00991677"/>
    <w:rsid w:val="00991761"/>
    <w:rsid w:val="00992016"/>
    <w:rsid w:val="00992D82"/>
    <w:rsid w:val="009948BC"/>
    <w:rsid w:val="00994DCA"/>
    <w:rsid w:val="009953F7"/>
    <w:rsid w:val="00995C20"/>
    <w:rsid w:val="009960EC"/>
    <w:rsid w:val="009970DD"/>
    <w:rsid w:val="009A0FBA"/>
    <w:rsid w:val="009A12E3"/>
    <w:rsid w:val="009A13BC"/>
    <w:rsid w:val="009A1601"/>
    <w:rsid w:val="009A27DE"/>
    <w:rsid w:val="009A384D"/>
    <w:rsid w:val="009A388D"/>
    <w:rsid w:val="009A3BB6"/>
    <w:rsid w:val="009A3EBB"/>
    <w:rsid w:val="009A3F29"/>
    <w:rsid w:val="009A462D"/>
    <w:rsid w:val="009A4666"/>
    <w:rsid w:val="009A5313"/>
    <w:rsid w:val="009A56D0"/>
    <w:rsid w:val="009A5AD9"/>
    <w:rsid w:val="009A5CBA"/>
    <w:rsid w:val="009A707B"/>
    <w:rsid w:val="009B0469"/>
    <w:rsid w:val="009B1F30"/>
    <w:rsid w:val="009B22A5"/>
    <w:rsid w:val="009B25B6"/>
    <w:rsid w:val="009B274E"/>
    <w:rsid w:val="009B2F24"/>
    <w:rsid w:val="009B3AC2"/>
    <w:rsid w:val="009B4733"/>
    <w:rsid w:val="009B4C66"/>
    <w:rsid w:val="009B4DF4"/>
    <w:rsid w:val="009B538C"/>
    <w:rsid w:val="009B560E"/>
    <w:rsid w:val="009B564E"/>
    <w:rsid w:val="009B5DEA"/>
    <w:rsid w:val="009B7A17"/>
    <w:rsid w:val="009B7E87"/>
    <w:rsid w:val="009C0168"/>
    <w:rsid w:val="009C0169"/>
    <w:rsid w:val="009C1002"/>
    <w:rsid w:val="009C13AB"/>
    <w:rsid w:val="009C1D64"/>
    <w:rsid w:val="009C2193"/>
    <w:rsid w:val="009C2569"/>
    <w:rsid w:val="009C2F31"/>
    <w:rsid w:val="009C403E"/>
    <w:rsid w:val="009C4FEC"/>
    <w:rsid w:val="009C5382"/>
    <w:rsid w:val="009C57B4"/>
    <w:rsid w:val="009C5A15"/>
    <w:rsid w:val="009C60B7"/>
    <w:rsid w:val="009C6552"/>
    <w:rsid w:val="009C67D3"/>
    <w:rsid w:val="009C694B"/>
    <w:rsid w:val="009C7C31"/>
    <w:rsid w:val="009C7DD9"/>
    <w:rsid w:val="009D149B"/>
    <w:rsid w:val="009D16C6"/>
    <w:rsid w:val="009D2158"/>
    <w:rsid w:val="009D2441"/>
    <w:rsid w:val="009D2755"/>
    <w:rsid w:val="009D2AFF"/>
    <w:rsid w:val="009D3CA3"/>
    <w:rsid w:val="009D4FED"/>
    <w:rsid w:val="009D4FF0"/>
    <w:rsid w:val="009D5838"/>
    <w:rsid w:val="009D60E7"/>
    <w:rsid w:val="009D703C"/>
    <w:rsid w:val="009D718F"/>
    <w:rsid w:val="009E068F"/>
    <w:rsid w:val="009E11BC"/>
    <w:rsid w:val="009E14E0"/>
    <w:rsid w:val="009E17D0"/>
    <w:rsid w:val="009E1AFB"/>
    <w:rsid w:val="009E1C51"/>
    <w:rsid w:val="009E2FF8"/>
    <w:rsid w:val="009E310C"/>
    <w:rsid w:val="009E338F"/>
    <w:rsid w:val="009E3495"/>
    <w:rsid w:val="009E35DB"/>
    <w:rsid w:val="009E37D4"/>
    <w:rsid w:val="009E3B75"/>
    <w:rsid w:val="009E3BFB"/>
    <w:rsid w:val="009E47A3"/>
    <w:rsid w:val="009E5018"/>
    <w:rsid w:val="009E6934"/>
    <w:rsid w:val="009E77D6"/>
    <w:rsid w:val="009E7815"/>
    <w:rsid w:val="009F08F3"/>
    <w:rsid w:val="009F0A21"/>
    <w:rsid w:val="009F10CF"/>
    <w:rsid w:val="009F1D0B"/>
    <w:rsid w:val="009F344F"/>
    <w:rsid w:val="009F439E"/>
    <w:rsid w:val="009F45C3"/>
    <w:rsid w:val="009F5BA7"/>
    <w:rsid w:val="00A00663"/>
    <w:rsid w:val="00A00979"/>
    <w:rsid w:val="00A031D8"/>
    <w:rsid w:val="00A03C5B"/>
    <w:rsid w:val="00A03CF8"/>
    <w:rsid w:val="00A03F0C"/>
    <w:rsid w:val="00A048A8"/>
    <w:rsid w:val="00A04F49"/>
    <w:rsid w:val="00A05A0B"/>
    <w:rsid w:val="00A0680D"/>
    <w:rsid w:val="00A0777D"/>
    <w:rsid w:val="00A07D63"/>
    <w:rsid w:val="00A07F6E"/>
    <w:rsid w:val="00A10A4A"/>
    <w:rsid w:val="00A10D0A"/>
    <w:rsid w:val="00A11D13"/>
    <w:rsid w:val="00A12370"/>
    <w:rsid w:val="00A12868"/>
    <w:rsid w:val="00A131AC"/>
    <w:rsid w:val="00A13681"/>
    <w:rsid w:val="00A13E54"/>
    <w:rsid w:val="00A13F6B"/>
    <w:rsid w:val="00A142AA"/>
    <w:rsid w:val="00A1451A"/>
    <w:rsid w:val="00A151C8"/>
    <w:rsid w:val="00A15A7C"/>
    <w:rsid w:val="00A17905"/>
    <w:rsid w:val="00A17F63"/>
    <w:rsid w:val="00A20F45"/>
    <w:rsid w:val="00A211DA"/>
    <w:rsid w:val="00A2193B"/>
    <w:rsid w:val="00A219C1"/>
    <w:rsid w:val="00A220AE"/>
    <w:rsid w:val="00A22776"/>
    <w:rsid w:val="00A22A2C"/>
    <w:rsid w:val="00A2351A"/>
    <w:rsid w:val="00A244B6"/>
    <w:rsid w:val="00A24909"/>
    <w:rsid w:val="00A264A9"/>
    <w:rsid w:val="00A268A5"/>
    <w:rsid w:val="00A26DCF"/>
    <w:rsid w:val="00A273CF"/>
    <w:rsid w:val="00A27785"/>
    <w:rsid w:val="00A30187"/>
    <w:rsid w:val="00A31001"/>
    <w:rsid w:val="00A31119"/>
    <w:rsid w:val="00A313B7"/>
    <w:rsid w:val="00A316BE"/>
    <w:rsid w:val="00A31A68"/>
    <w:rsid w:val="00A3208D"/>
    <w:rsid w:val="00A336F7"/>
    <w:rsid w:val="00A33937"/>
    <w:rsid w:val="00A3448A"/>
    <w:rsid w:val="00A35504"/>
    <w:rsid w:val="00A36297"/>
    <w:rsid w:val="00A362BC"/>
    <w:rsid w:val="00A36C02"/>
    <w:rsid w:val="00A36F23"/>
    <w:rsid w:val="00A374C1"/>
    <w:rsid w:val="00A3766D"/>
    <w:rsid w:val="00A3772C"/>
    <w:rsid w:val="00A406E2"/>
    <w:rsid w:val="00A4084A"/>
    <w:rsid w:val="00A41E2B"/>
    <w:rsid w:val="00A42B4B"/>
    <w:rsid w:val="00A42C62"/>
    <w:rsid w:val="00A42F57"/>
    <w:rsid w:val="00A43CBF"/>
    <w:rsid w:val="00A43D86"/>
    <w:rsid w:val="00A44033"/>
    <w:rsid w:val="00A44271"/>
    <w:rsid w:val="00A45839"/>
    <w:rsid w:val="00A45B74"/>
    <w:rsid w:val="00A469D1"/>
    <w:rsid w:val="00A473AC"/>
    <w:rsid w:val="00A506CE"/>
    <w:rsid w:val="00A50706"/>
    <w:rsid w:val="00A507E2"/>
    <w:rsid w:val="00A50E59"/>
    <w:rsid w:val="00A51527"/>
    <w:rsid w:val="00A5167F"/>
    <w:rsid w:val="00A52124"/>
    <w:rsid w:val="00A524BE"/>
    <w:rsid w:val="00A52E1D"/>
    <w:rsid w:val="00A5319D"/>
    <w:rsid w:val="00A53409"/>
    <w:rsid w:val="00A5411F"/>
    <w:rsid w:val="00A551E1"/>
    <w:rsid w:val="00A555E8"/>
    <w:rsid w:val="00A55D53"/>
    <w:rsid w:val="00A5690C"/>
    <w:rsid w:val="00A573A8"/>
    <w:rsid w:val="00A573F2"/>
    <w:rsid w:val="00A577F8"/>
    <w:rsid w:val="00A6016E"/>
    <w:rsid w:val="00A60962"/>
    <w:rsid w:val="00A60EBD"/>
    <w:rsid w:val="00A60F06"/>
    <w:rsid w:val="00A61499"/>
    <w:rsid w:val="00A61CC0"/>
    <w:rsid w:val="00A62709"/>
    <w:rsid w:val="00A62A77"/>
    <w:rsid w:val="00A63483"/>
    <w:rsid w:val="00A63F63"/>
    <w:rsid w:val="00A64594"/>
    <w:rsid w:val="00A64A31"/>
    <w:rsid w:val="00A65619"/>
    <w:rsid w:val="00A657D7"/>
    <w:rsid w:val="00A660AC"/>
    <w:rsid w:val="00A6664B"/>
    <w:rsid w:val="00A6664E"/>
    <w:rsid w:val="00A66675"/>
    <w:rsid w:val="00A67E6C"/>
    <w:rsid w:val="00A67F2B"/>
    <w:rsid w:val="00A7001F"/>
    <w:rsid w:val="00A70546"/>
    <w:rsid w:val="00A707C7"/>
    <w:rsid w:val="00A71B99"/>
    <w:rsid w:val="00A728EF"/>
    <w:rsid w:val="00A72CE3"/>
    <w:rsid w:val="00A7322A"/>
    <w:rsid w:val="00A739D0"/>
    <w:rsid w:val="00A749A5"/>
    <w:rsid w:val="00A761D4"/>
    <w:rsid w:val="00A761E3"/>
    <w:rsid w:val="00A7659C"/>
    <w:rsid w:val="00A773A7"/>
    <w:rsid w:val="00A77932"/>
    <w:rsid w:val="00A77EC4"/>
    <w:rsid w:val="00A80DB4"/>
    <w:rsid w:val="00A812EA"/>
    <w:rsid w:val="00A8158A"/>
    <w:rsid w:val="00A8245C"/>
    <w:rsid w:val="00A842A8"/>
    <w:rsid w:val="00A84EF8"/>
    <w:rsid w:val="00A86DB0"/>
    <w:rsid w:val="00A86E2B"/>
    <w:rsid w:val="00A87DCD"/>
    <w:rsid w:val="00A87F8E"/>
    <w:rsid w:val="00A911AC"/>
    <w:rsid w:val="00A91A50"/>
    <w:rsid w:val="00A91BE2"/>
    <w:rsid w:val="00A92879"/>
    <w:rsid w:val="00A92D04"/>
    <w:rsid w:val="00A93E32"/>
    <w:rsid w:val="00A9442A"/>
    <w:rsid w:val="00A948D0"/>
    <w:rsid w:val="00A955A1"/>
    <w:rsid w:val="00A96660"/>
    <w:rsid w:val="00A96E4E"/>
    <w:rsid w:val="00A96F6E"/>
    <w:rsid w:val="00A97B54"/>
    <w:rsid w:val="00AA016F"/>
    <w:rsid w:val="00AA1ED6"/>
    <w:rsid w:val="00AA2595"/>
    <w:rsid w:val="00AA2703"/>
    <w:rsid w:val="00AA2B60"/>
    <w:rsid w:val="00AA3444"/>
    <w:rsid w:val="00AA3C2D"/>
    <w:rsid w:val="00AA3FB9"/>
    <w:rsid w:val="00AA44A0"/>
    <w:rsid w:val="00AA51D6"/>
    <w:rsid w:val="00AA537D"/>
    <w:rsid w:val="00AA5DF2"/>
    <w:rsid w:val="00AA63F5"/>
    <w:rsid w:val="00AA6521"/>
    <w:rsid w:val="00AA6EF7"/>
    <w:rsid w:val="00AA7357"/>
    <w:rsid w:val="00AB0AB0"/>
    <w:rsid w:val="00AB0BC8"/>
    <w:rsid w:val="00AB11CA"/>
    <w:rsid w:val="00AB14D9"/>
    <w:rsid w:val="00AB1753"/>
    <w:rsid w:val="00AB29A4"/>
    <w:rsid w:val="00AB39DD"/>
    <w:rsid w:val="00AB4AB8"/>
    <w:rsid w:val="00AB4D96"/>
    <w:rsid w:val="00AB539F"/>
    <w:rsid w:val="00AB639B"/>
    <w:rsid w:val="00AB655E"/>
    <w:rsid w:val="00AB662C"/>
    <w:rsid w:val="00AB6764"/>
    <w:rsid w:val="00AB6BDD"/>
    <w:rsid w:val="00AB7CA6"/>
    <w:rsid w:val="00AC007F"/>
    <w:rsid w:val="00AC0B5A"/>
    <w:rsid w:val="00AC2870"/>
    <w:rsid w:val="00AC2ECD"/>
    <w:rsid w:val="00AC3119"/>
    <w:rsid w:val="00AC3B26"/>
    <w:rsid w:val="00AC3C88"/>
    <w:rsid w:val="00AC49FB"/>
    <w:rsid w:val="00AC5A10"/>
    <w:rsid w:val="00AC6773"/>
    <w:rsid w:val="00AC6D6D"/>
    <w:rsid w:val="00AD07A3"/>
    <w:rsid w:val="00AD0AA3"/>
    <w:rsid w:val="00AD0B50"/>
    <w:rsid w:val="00AD24BC"/>
    <w:rsid w:val="00AD2ED0"/>
    <w:rsid w:val="00AD3F94"/>
    <w:rsid w:val="00AD411D"/>
    <w:rsid w:val="00AD45DB"/>
    <w:rsid w:val="00AD4995"/>
    <w:rsid w:val="00AD4A5A"/>
    <w:rsid w:val="00AD5A75"/>
    <w:rsid w:val="00AD6410"/>
    <w:rsid w:val="00AD729D"/>
    <w:rsid w:val="00AD7BE9"/>
    <w:rsid w:val="00AD7E07"/>
    <w:rsid w:val="00AE0545"/>
    <w:rsid w:val="00AE0B8F"/>
    <w:rsid w:val="00AE112D"/>
    <w:rsid w:val="00AE1772"/>
    <w:rsid w:val="00AE17C6"/>
    <w:rsid w:val="00AE27AC"/>
    <w:rsid w:val="00AE2D79"/>
    <w:rsid w:val="00AE38EA"/>
    <w:rsid w:val="00AE40E0"/>
    <w:rsid w:val="00AE4DBA"/>
    <w:rsid w:val="00AE4F07"/>
    <w:rsid w:val="00AE55F5"/>
    <w:rsid w:val="00AE60CB"/>
    <w:rsid w:val="00AE67DB"/>
    <w:rsid w:val="00AE6AA9"/>
    <w:rsid w:val="00AE708F"/>
    <w:rsid w:val="00AE736C"/>
    <w:rsid w:val="00AE76A5"/>
    <w:rsid w:val="00AF06AB"/>
    <w:rsid w:val="00AF17B1"/>
    <w:rsid w:val="00AF1959"/>
    <w:rsid w:val="00AF1C5D"/>
    <w:rsid w:val="00AF2B63"/>
    <w:rsid w:val="00AF3F52"/>
    <w:rsid w:val="00AF42D7"/>
    <w:rsid w:val="00AF497C"/>
    <w:rsid w:val="00AF4A66"/>
    <w:rsid w:val="00AF4E2D"/>
    <w:rsid w:val="00AF6425"/>
    <w:rsid w:val="00AF66D0"/>
    <w:rsid w:val="00AF7C9C"/>
    <w:rsid w:val="00AF7E65"/>
    <w:rsid w:val="00B006FE"/>
    <w:rsid w:val="00B007CB"/>
    <w:rsid w:val="00B02187"/>
    <w:rsid w:val="00B021D2"/>
    <w:rsid w:val="00B02364"/>
    <w:rsid w:val="00B02AA9"/>
    <w:rsid w:val="00B02FA3"/>
    <w:rsid w:val="00B035A9"/>
    <w:rsid w:val="00B0371C"/>
    <w:rsid w:val="00B03AD1"/>
    <w:rsid w:val="00B05084"/>
    <w:rsid w:val="00B0618C"/>
    <w:rsid w:val="00B06D50"/>
    <w:rsid w:val="00B07466"/>
    <w:rsid w:val="00B10803"/>
    <w:rsid w:val="00B109D0"/>
    <w:rsid w:val="00B113BA"/>
    <w:rsid w:val="00B11BBF"/>
    <w:rsid w:val="00B12EB1"/>
    <w:rsid w:val="00B13465"/>
    <w:rsid w:val="00B14E41"/>
    <w:rsid w:val="00B157F9"/>
    <w:rsid w:val="00B15E49"/>
    <w:rsid w:val="00B170E5"/>
    <w:rsid w:val="00B17568"/>
    <w:rsid w:val="00B17667"/>
    <w:rsid w:val="00B20256"/>
    <w:rsid w:val="00B202AB"/>
    <w:rsid w:val="00B205D6"/>
    <w:rsid w:val="00B20D09"/>
    <w:rsid w:val="00B225FA"/>
    <w:rsid w:val="00B23559"/>
    <w:rsid w:val="00B23C1A"/>
    <w:rsid w:val="00B24373"/>
    <w:rsid w:val="00B2502C"/>
    <w:rsid w:val="00B251AF"/>
    <w:rsid w:val="00B25577"/>
    <w:rsid w:val="00B26C5F"/>
    <w:rsid w:val="00B26DD5"/>
    <w:rsid w:val="00B27098"/>
    <w:rsid w:val="00B2763F"/>
    <w:rsid w:val="00B27AAC"/>
    <w:rsid w:val="00B27EAA"/>
    <w:rsid w:val="00B3035F"/>
    <w:rsid w:val="00B30929"/>
    <w:rsid w:val="00B31414"/>
    <w:rsid w:val="00B31FCD"/>
    <w:rsid w:val="00B32283"/>
    <w:rsid w:val="00B32CCD"/>
    <w:rsid w:val="00B346D1"/>
    <w:rsid w:val="00B34ACE"/>
    <w:rsid w:val="00B354A6"/>
    <w:rsid w:val="00B372AA"/>
    <w:rsid w:val="00B40445"/>
    <w:rsid w:val="00B409E0"/>
    <w:rsid w:val="00B40E33"/>
    <w:rsid w:val="00B40ED2"/>
    <w:rsid w:val="00B41888"/>
    <w:rsid w:val="00B41B72"/>
    <w:rsid w:val="00B4332D"/>
    <w:rsid w:val="00B43C20"/>
    <w:rsid w:val="00B4448B"/>
    <w:rsid w:val="00B44CB4"/>
    <w:rsid w:val="00B45215"/>
    <w:rsid w:val="00B45A52"/>
    <w:rsid w:val="00B45C45"/>
    <w:rsid w:val="00B46175"/>
    <w:rsid w:val="00B52B2F"/>
    <w:rsid w:val="00B52FE7"/>
    <w:rsid w:val="00B53020"/>
    <w:rsid w:val="00B536F4"/>
    <w:rsid w:val="00B548B7"/>
    <w:rsid w:val="00B548F2"/>
    <w:rsid w:val="00B54B87"/>
    <w:rsid w:val="00B55026"/>
    <w:rsid w:val="00B5604A"/>
    <w:rsid w:val="00B5745C"/>
    <w:rsid w:val="00B57E44"/>
    <w:rsid w:val="00B600D6"/>
    <w:rsid w:val="00B607AE"/>
    <w:rsid w:val="00B60835"/>
    <w:rsid w:val="00B60E82"/>
    <w:rsid w:val="00B61AE3"/>
    <w:rsid w:val="00B621A5"/>
    <w:rsid w:val="00B63063"/>
    <w:rsid w:val="00B63B15"/>
    <w:rsid w:val="00B64339"/>
    <w:rsid w:val="00B65970"/>
    <w:rsid w:val="00B6636D"/>
    <w:rsid w:val="00B664C7"/>
    <w:rsid w:val="00B66DE2"/>
    <w:rsid w:val="00B6759C"/>
    <w:rsid w:val="00B67A89"/>
    <w:rsid w:val="00B7001F"/>
    <w:rsid w:val="00B7037D"/>
    <w:rsid w:val="00B705DD"/>
    <w:rsid w:val="00B71123"/>
    <w:rsid w:val="00B713CC"/>
    <w:rsid w:val="00B71842"/>
    <w:rsid w:val="00B71A7C"/>
    <w:rsid w:val="00B71D7E"/>
    <w:rsid w:val="00B722B2"/>
    <w:rsid w:val="00B72CC9"/>
    <w:rsid w:val="00B73143"/>
    <w:rsid w:val="00B739F6"/>
    <w:rsid w:val="00B73E6F"/>
    <w:rsid w:val="00B74E79"/>
    <w:rsid w:val="00B7717F"/>
    <w:rsid w:val="00B803E2"/>
    <w:rsid w:val="00B807A7"/>
    <w:rsid w:val="00B80D1D"/>
    <w:rsid w:val="00B812AF"/>
    <w:rsid w:val="00B81635"/>
    <w:rsid w:val="00B81A6C"/>
    <w:rsid w:val="00B82C06"/>
    <w:rsid w:val="00B82E37"/>
    <w:rsid w:val="00B83169"/>
    <w:rsid w:val="00B837B6"/>
    <w:rsid w:val="00B83930"/>
    <w:rsid w:val="00B8576D"/>
    <w:rsid w:val="00B85DE5"/>
    <w:rsid w:val="00B8675B"/>
    <w:rsid w:val="00B86C16"/>
    <w:rsid w:val="00B87158"/>
    <w:rsid w:val="00B875F8"/>
    <w:rsid w:val="00B90E1C"/>
    <w:rsid w:val="00B90F73"/>
    <w:rsid w:val="00B91D88"/>
    <w:rsid w:val="00B935A2"/>
    <w:rsid w:val="00B93B59"/>
    <w:rsid w:val="00B93D20"/>
    <w:rsid w:val="00B94024"/>
    <w:rsid w:val="00B9406A"/>
    <w:rsid w:val="00B9436D"/>
    <w:rsid w:val="00B9534A"/>
    <w:rsid w:val="00B965B9"/>
    <w:rsid w:val="00B96C60"/>
    <w:rsid w:val="00B96E77"/>
    <w:rsid w:val="00B96F76"/>
    <w:rsid w:val="00BA00C0"/>
    <w:rsid w:val="00BA088A"/>
    <w:rsid w:val="00BA09A1"/>
    <w:rsid w:val="00BA0C00"/>
    <w:rsid w:val="00BA0F15"/>
    <w:rsid w:val="00BA1498"/>
    <w:rsid w:val="00BA2280"/>
    <w:rsid w:val="00BA270F"/>
    <w:rsid w:val="00BA2A08"/>
    <w:rsid w:val="00BA2E02"/>
    <w:rsid w:val="00BA349B"/>
    <w:rsid w:val="00BA5023"/>
    <w:rsid w:val="00BA56D2"/>
    <w:rsid w:val="00BA5F33"/>
    <w:rsid w:val="00BA6619"/>
    <w:rsid w:val="00BA6680"/>
    <w:rsid w:val="00BA76E0"/>
    <w:rsid w:val="00BA7704"/>
    <w:rsid w:val="00BB287E"/>
    <w:rsid w:val="00BB2A25"/>
    <w:rsid w:val="00BB33BC"/>
    <w:rsid w:val="00BB4483"/>
    <w:rsid w:val="00BB4C70"/>
    <w:rsid w:val="00BB4E38"/>
    <w:rsid w:val="00BB51E9"/>
    <w:rsid w:val="00BB66D0"/>
    <w:rsid w:val="00BB7D7A"/>
    <w:rsid w:val="00BB7EC3"/>
    <w:rsid w:val="00BC0FDC"/>
    <w:rsid w:val="00BC14DB"/>
    <w:rsid w:val="00BC2795"/>
    <w:rsid w:val="00BC3053"/>
    <w:rsid w:val="00BC30F2"/>
    <w:rsid w:val="00BC42AC"/>
    <w:rsid w:val="00BC4D2E"/>
    <w:rsid w:val="00BC5BC5"/>
    <w:rsid w:val="00BC6D97"/>
    <w:rsid w:val="00BC6F54"/>
    <w:rsid w:val="00BC7083"/>
    <w:rsid w:val="00BC734E"/>
    <w:rsid w:val="00BC7355"/>
    <w:rsid w:val="00BC7D94"/>
    <w:rsid w:val="00BD0084"/>
    <w:rsid w:val="00BD0E2F"/>
    <w:rsid w:val="00BD1013"/>
    <w:rsid w:val="00BD1375"/>
    <w:rsid w:val="00BD14EA"/>
    <w:rsid w:val="00BD166A"/>
    <w:rsid w:val="00BD1BB9"/>
    <w:rsid w:val="00BD1D24"/>
    <w:rsid w:val="00BD2206"/>
    <w:rsid w:val="00BD2377"/>
    <w:rsid w:val="00BD28AC"/>
    <w:rsid w:val="00BD28FC"/>
    <w:rsid w:val="00BD2D5F"/>
    <w:rsid w:val="00BD33D3"/>
    <w:rsid w:val="00BD48AC"/>
    <w:rsid w:val="00BD4AA9"/>
    <w:rsid w:val="00BD5DF3"/>
    <w:rsid w:val="00BD5F1A"/>
    <w:rsid w:val="00BD5F7F"/>
    <w:rsid w:val="00BD683A"/>
    <w:rsid w:val="00BD68BC"/>
    <w:rsid w:val="00BD68C4"/>
    <w:rsid w:val="00BD7B63"/>
    <w:rsid w:val="00BD7DB6"/>
    <w:rsid w:val="00BE1234"/>
    <w:rsid w:val="00BE1D3B"/>
    <w:rsid w:val="00BE2946"/>
    <w:rsid w:val="00BE2FA6"/>
    <w:rsid w:val="00BE333F"/>
    <w:rsid w:val="00BE3585"/>
    <w:rsid w:val="00BE37D6"/>
    <w:rsid w:val="00BE43A2"/>
    <w:rsid w:val="00BE4552"/>
    <w:rsid w:val="00BE663E"/>
    <w:rsid w:val="00BE6A5A"/>
    <w:rsid w:val="00BE7406"/>
    <w:rsid w:val="00BE7603"/>
    <w:rsid w:val="00BF0157"/>
    <w:rsid w:val="00BF05AE"/>
    <w:rsid w:val="00BF1159"/>
    <w:rsid w:val="00BF11A0"/>
    <w:rsid w:val="00BF1EEA"/>
    <w:rsid w:val="00BF28B9"/>
    <w:rsid w:val="00BF2D62"/>
    <w:rsid w:val="00BF3279"/>
    <w:rsid w:val="00BF3741"/>
    <w:rsid w:val="00BF3C7F"/>
    <w:rsid w:val="00BF48B8"/>
    <w:rsid w:val="00BF4D9D"/>
    <w:rsid w:val="00BF5871"/>
    <w:rsid w:val="00BF5CDA"/>
    <w:rsid w:val="00BF5CDD"/>
    <w:rsid w:val="00BF5F92"/>
    <w:rsid w:val="00BF6A53"/>
    <w:rsid w:val="00BF74C7"/>
    <w:rsid w:val="00BF7623"/>
    <w:rsid w:val="00C0140E"/>
    <w:rsid w:val="00C015F1"/>
    <w:rsid w:val="00C01A1B"/>
    <w:rsid w:val="00C01BEA"/>
    <w:rsid w:val="00C01C3D"/>
    <w:rsid w:val="00C01CF8"/>
    <w:rsid w:val="00C01F33"/>
    <w:rsid w:val="00C02CC6"/>
    <w:rsid w:val="00C040F7"/>
    <w:rsid w:val="00C044AB"/>
    <w:rsid w:val="00C04F6B"/>
    <w:rsid w:val="00C0502F"/>
    <w:rsid w:val="00C05706"/>
    <w:rsid w:val="00C05E9D"/>
    <w:rsid w:val="00C07377"/>
    <w:rsid w:val="00C0749B"/>
    <w:rsid w:val="00C0787A"/>
    <w:rsid w:val="00C07DF1"/>
    <w:rsid w:val="00C10478"/>
    <w:rsid w:val="00C10E6A"/>
    <w:rsid w:val="00C112C7"/>
    <w:rsid w:val="00C11419"/>
    <w:rsid w:val="00C11546"/>
    <w:rsid w:val="00C11612"/>
    <w:rsid w:val="00C11AEE"/>
    <w:rsid w:val="00C12107"/>
    <w:rsid w:val="00C126CD"/>
    <w:rsid w:val="00C12C4D"/>
    <w:rsid w:val="00C136FC"/>
    <w:rsid w:val="00C13CFB"/>
    <w:rsid w:val="00C144D4"/>
    <w:rsid w:val="00C14D4B"/>
    <w:rsid w:val="00C154BB"/>
    <w:rsid w:val="00C16675"/>
    <w:rsid w:val="00C17A29"/>
    <w:rsid w:val="00C17F50"/>
    <w:rsid w:val="00C205E8"/>
    <w:rsid w:val="00C213C7"/>
    <w:rsid w:val="00C21C9A"/>
    <w:rsid w:val="00C2275E"/>
    <w:rsid w:val="00C22E1A"/>
    <w:rsid w:val="00C238E0"/>
    <w:rsid w:val="00C24146"/>
    <w:rsid w:val="00C251A9"/>
    <w:rsid w:val="00C25798"/>
    <w:rsid w:val="00C2724C"/>
    <w:rsid w:val="00C278B5"/>
    <w:rsid w:val="00C279B5"/>
    <w:rsid w:val="00C27C45"/>
    <w:rsid w:val="00C27DEE"/>
    <w:rsid w:val="00C27EAB"/>
    <w:rsid w:val="00C3084F"/>
    <w:rsid w:val="00C31078"/>
    <w:rsid w:val="00C31B44"/>
    <w:rsid w:val="00C32C9A"/>
    <w:rsid w:val="00C33110"/>
    <w:rsid w:val="00C34B00"/>
    <w:rsid w:val="00C34BCB"/>
    <w:rsid w:val="00C3719D"/>
    <w:rsid w:val="00C374A8"/>
    <w:rsid w:val="00C378BA"/>
    <w:rsid w:val="00C37CB2"/>
    <w:rsid w:val="00C4096D"/>
    <w:rsid w:val="00C42151"/>
    <w:rsid w:val="00C42D41"/>
    <w:rsid w:val="00C4347E"/>
    <w:rsid w:val="00C4421C"/>
    <w:rsid w:val="00C45C9E"/>
    <w:rsid w:val="00C4656F"/>
    <w:rsid w:val="00C473A5"/>
    <w:rsid w:val="00C47443"/>
    <w:rsid w:val="00C4796F"/>
    <w:rsid w:val="00C47B7A"/>
    <w:rsid w:val="00C47BE8"/>
    <w:rsid w:val="00C50057"/>
    <w:rsid w:val="00C50FDD"/>
    <w:rsid w:val="00C51597"/>
    <w:rsid w:val="00C51898"/>
    <w:rsid w:val="00C51A16"/>
    <w:rsid w:val="00C51D41"/>
    <w:rsid w:val="00C521FA"/>
    <w:rsid w:val="00C522DF"/>
    <w:rsid w:val="00C54995"/>
    <w:rsid w:val="00C54D41"/>
    <w:rsid w:val="00C570B3"/>
    <w:rsid w:val="00C57784"/>
    <w:rsid w:val="00C57921"/>
    <w:rsid w:val="00C57B14"/>
    <w:rsid w:val="00C60648"/>
    <w:rsid w:val="00C60783"/>
    <w:rsid w:val="00C60863"/>
    <w:rsid w:val="00C608D7"/>
    <w:rsid w:val="00C60AEE"/>
    <w:rsid w:val="00C6220D"/>
    <w:rsid w:val="00C626A1"/>
    <w:rsid w:val="00C62740"/>
    <w:rsid w:val="00C62F46"/>
    <w:rsid w:val="00C636E0"/>
    <w:rsid w:val="00C64672"/>
    <w:rsid w:val="00C655FF"/>
    <w:rsid w:val="00C66C26"/>
    <w:rsid w:val="00C66C9E"/>
    <w:rsid w:val="00C6714F"/>
    <w:rsid w:val="00C67BBE"/>
    <w:rsid w:val="00C703F9"/>
    <w:rsid w:val="00C70697"/>
    <w:rsid w:val="00C716AA"/>
    <w:rsid w:val="00C72093"/>
    <w:rsid w:val="00C723F0"/>
    <w:rsid w:val="00C7276B"/>
    <w:rsid w:val="00C72EF4"/>
    <w:rsid w:val="00C7324D"/>
    <w:rsid w:val="00C742DA"/>
    <w:rsid w:val="00C744C5"/>
    <w:rsid w:val="00C744FE"/>
    <w:rsid w:val="00C74C3C"/>
    <w:rsid w:val="00C75D2F"/>
    <w:rsid w:val="00C7615F"/>
    <w:rsid w:val="00C7645C"/>
    <w:rsid w:val="00C767BE"/>
    <w:rsid w:val="00C76E3C"/>
    <w:rsid w:val="00C77215"/>
    <w:rsid w:val="00C77C61"/>
    <w:rsid w:val="00C77CF2"/>
    <w:rsid w:val="00C77F4A"/>
    <w:rsid w:val="00C80B66"/>
    <w:rsid w:val="00C80BD2"/>
    <w:rsid w:val="00C810F2"/>
    <w:rsid w:val="00C8121B"/>
    <w:rsid w:val="00C81568"/>
    <w:rsid w:val="00C817F8"/>
    <w:rsid w:val="00C82074"/>
    <w:rsid w:val="00C820E6"/>
    <w:rsid w:val="00C82101"/>
    <w:rsid w:val="00C8217F"/>
    <w:rsid w:val="00C8226D"/>
    <w:rsid w:val="00C82A7C"/>
    <w:rsid w:val="00C85099"/>
    <w:rsid w:val="00C85AE5"/>
    <w:rsid w:val="00C867F3"/>
    <w:rsid w:val="00C9027A"/>
    <w:rsid w:val="00C9068E"/>
    <w:rsid w:val="00C90843"/>
    <w:rsid w:val="00C908AA"/>
    <w:rsid w:val="00C911A7"/>
    <w:rsid w:val="00C9170B"/>
    <w:rsid w:val="00C93061"/>
    <w:rsid w:val="00C93814"/>
    <w:rsid w:val="00C93C4B"/>
    <w:rsid w:val="00C944AB"/>
    <w:rsid w:val="00C95A74"/>
    <w:rsid w:val="00C95B40"/>
    <w:rsid w:val="00C95C24"/>
    <w:rsid w:val="00C975BF"/>
    <w:rsid w:val="00C97DA1"/>
    <w:rsid w:val="00C97EE2"/>
    <w:rsid w:val="00CA052C"/>
    <w:rsid w:val="00CA0AC3"/>
    <w:rsid w:val="00CA0B33"/>
    <w:rsid w:val="00CA1ED8"/>
    <w:rsid w:val="00CA2633"/>
    <w:rsid w:val="00CA4626"/>
    <w:rsid w:val="00CA4B10"/>
    <w:rsid w:val="00CA5625"/>
    <w:rsid w:val="00CA5C8E"/>
    <w:rsid w:val="00CA6F13"/>
    <w:rsid w:val="00CA7092"/>
    <w:rsid w:val="00CB05AE"/>
    <w:rsid w:val="00CB0A33"/>
    <w:rsid w:val="00CB0B1E"/>
    <w:rsid w:val="00CB1F63"/>
    <w:rsid w:val="00CB20C4"/>
    <w:rsid w:val="00CB32CC"/>
    <w:rsid w:val="00CB36F8"/>
    <w:rsid w:val="00CB460B"/>
    <w:rsid w:val="00CB478E"/>
    <w:rsid w:val="00CB4B93"/>
    <w:rsid w:val="00CB5317"/>
    <w:rsid w:val="00CB5475"/>
    <w:rsid w:val="00CB62DE"/>
    <w:rsid w:val="00CB6719"/>
    <w:rsid w:val="00CB6E7B"/>
    <w:rsid w:val="00CB7170"/>
    <w:rsid w:val="00CB783F"/>
    <w:rsid w:val="00CC040E"/>
    <w:rsid w:val="00CC0F81"/>
    <w:rsid w:val="00CC111F"/>
    <w:rsid w:val="00CC13E8"/>
    <w:rsid w:val="00CC2011"/>
    <w:rsid w:val="00CC2610"/>
    <w:rsid w:val="00CC282E"/>
    <w:rsid w:val="00CC38B4"/>
    <w:rsid w:val="00CC3C39"/>
    <w:rsid w:val="00CC3EA0"/>
    <w:rsid w:val="00CC3ED5"/>
    <w:rsid w:val="00CC477B"/>
    <w:rsid w:val="00CC6CB0"/>
    <w:rsid w:val="00CC7B45"/>
    <w:rsid w:val="00CC7B55"/>
    <w:rsid w:val="00CD091A"/>
    <w:rsid w:val="00CD0D9F"/>
    <w:rsid w:val="00CD1188"/>
    <w:rsid w:val="00CD1F01"/>
    <w:rsid w:val="00CD23DF"/>
    <w:rsid w:val="00CD2ED1"/>
    <w:rsid w:val="00CD337B"/>
    <w:rsid w:val="00CD4F95"/>
    <w:rsid w:val="00CD557E"/>
    <w:rsid w:val="00CD6F43"/>
    <w:rsid w:val="00CD7519"/>
    <w:rsid w:val="00CD7A9B"/>
    <w:rsid w:val="00CD7C72"/>
    <w:rsid w:val="00CE0424"/>
    <w:rsid w:val="00CE1F03"/>
    <w:rsid w:val="00CE349E"/>
    <w:rsid w:val="00CE365C"/>
    <w:rsid w:val="00CE48D7"/>
    <w:rsid w:val="00CE4E44"/>
    <w:rsid w:val="00CE53B0"/>
    <w:rsid w:val="00CE5873"/>
    <w:rsid w:val="00CE5D07"/>
    <w:rsid w:val="00CE7136"/>
    <w:rsid w:val="00CE71EB"/>
    <w:rsid w:val="00CE7337"/>
    <w:rsid w:val="00CE7561"/>
    <w:rsid w:val="00CF01D8"/>
    <w:rsid w:val="00CF1354"/>
    <w:rsid w:val="00CF214D"/>
    <w:rsid w:val="00CF3B1F"/>
    <w:rsid w:val="00CF3BF6"/>
    <w:rsid w:val="00CF3F13"/>
    <w:rsid w:val="00CF5F17"/>
    <w:rsid w:val="00CF625B"/>
    <w:rsid w:val="00CF687E"/>
    <w:rsid w:val="00D0119D"/>
    <w:rsid w:val="00D02A64"/>
    <w:rsid w:val="00D0336D"/>
    <w:rsid w:val="00D0349B"/>
    <w:rsid w:val="00D03671"/>
    <w:rsid w:val="00D04580"/>
    <w:rsid w:val="00D05849"/>
    <w:rsid w:val="00D05A58"/>
    <w:rsid w:val="00D067D7"/>
    <w:rsid w:val="00D06951"/>
    <w:rsid w:val="00D07C6E"/>
    <w:rsid w:val="00D10249"/>
    <w:rsid w:val="00D1082F"/>
    <w:rsid w:val="00D115C3"/>
    <w:rsid w:val="00D11897"/>
    <w:rsid w:val="00D11AAA"/>
    <w:rsid w:val="00D11D5E"/>
    <w:rsid w:val="00D1244D"/>
    <w:rsid w:val="00D13135"/>
    <w:rsid w:val="00D13CBD"/>
    <w:rsid w:val="00D13E4E"/>
    <w:rsid w:val="00D14F23"/>
    <w:rsid w:val="00D16FAD"/>
    <w:rsid w:val="00D2007D"/>
    <w:rsid w:val="00D2022A"/>
    <w:rsid w:val="00D20603"/>
    <w:rsid w:val="00D221EC"/>
    <w:rsid w:val="00D239A7"/>
    <w:rsid w:val="00D23F47"/>
    <w:rsid w:val="00D26D23"/>
    <w:rsid w:val="00D27188"/>
    <w:rsid w:val="00D27501"/>
    <w:rsid w:val="00D27DB3"/>
    <w:rsid w:val="00D309A4"/>
    <w:rsid w:val="00D30DDB"/>
    <w:rsid w:val="00D31449"/>
    <w:rsid w:val="00D318CF"/>
    <w:rsid w:val="00D328DF"/>
    <w:rsid w:val="00D32F0E"/>
    <w:rsid w:val="00D3337A"/>
    <w:rsid w:val="00D3342C"/>
    <w:rsid w:val="00D33582"/>
    <w:rsid w:val="00D3468A"/>
    <w:rsid w:val="00D355BE"/>
    <w:rsid w:val="00D358A4"/>
    <w:rsid w:val="00D36075"/>
    <w:rsid w:val="00D36B92"/>
    <w:rsid w:val="00D36E71"/>
    <w:rsid w:val="00D37D87"/>
    <w:rsid w:val="00D37F58"/>
    <w:rsid w:val="00D40681"/>
    <w:rsid w:val="00D40B33"/>
    <w:rsid w:val="00D40FAC"/>
    <w:rsid w:val="00D41732"/>
    <w:rsid w:val="00D4181F"/>
    <w:rsid w:val="00D4318F"/>
    <w:rsid w:val="00D438BF"/>
    <w:rsid w:val="00D43F65"/>
    <w:rsid w:val="00D440F8"/>
    <w:rsid w:val="00D44771"/>
    <w:rsid w:val="00D44D31"/>
    <w:rsid w:val="00D454FF"/>
    <w:rsid w:val="00D4696D"/>
    <w:rsid w:val="00D47051"/>
    <w:rsid w:val="00D50BF1"/>
    <w:rsid w:val="00D5293E"/>
    <w:rsid w:val="00D531A1"/>
    <w:rsid w:val="00D53707"/>
    <w:rsid w:val="00D53932"/>
    <w:rsid w:val="00D546FF"/>
    <w:rsid w:val="00D549A5"/>
    <w:rsid w:val="00D55557"/>
    <w:rsid w:val="00D55ACE"/>
    <w:rsid w:val="00D55AD5"/>
    <w:rsid w:val="00D567AB"/>
    <w:rsid w:val="00D5697B"/>
    <w:rsid w:val="00D56BA3"/>
    <w:rsid w:val="00D57482"/>
    <w:rsid w:val="00D5766A"/>
    <w:rsid w:val="00D576CA"/>
    <w:rsid w:val="00D61843"/>
    <w:rsid w:val="00D61869"/>
    <w:rsid w:val="00D61AF5"/>
    <w:rsid w:val="00D61D33"/>
    <w:rsid w:val="00D61EDA"/>
    <w:rsid w:val="00D6240D"/>
    <w:rsid w:val="00D6272E"/>
    <w:rsid w:val="00D62ECA"/>
    <w:rsid w:val="00D6416E"/>
    <w:rsid w:val="00D644AD"/>
    <w:rsid w:val="00D64DCB"/>
    <w:rsid w:val="00D652B5"/>
    <w:rsid w:val="00D6593B"/>
    <w:rsid w:val="00D66155"/>
    <w:rsid w:val="00D66D82"/>
    <w:rsid w:val="00D708B0"/>
    <w:rsid w:val="00D70AF3"/>
    <w:rsid w:val="00D718BD"/>
    <w:rsid w:val="00D71A66"/>
    <w:rsid w:val="00D734B3"/>
    <w:rsid w:val="00D73F3E"/>
    <w:rsid w:val="00D76CF6"/>
    <w:rsid w:val="00D77ACB"/>
    <w:rsid w:val="00D77B1D"/>
    <w:rsid w:val="00D8021F"/>
    <w:rsid w:val="00D80236"/>
    <w:rsid w:val="00D80383"/>
    <w:rsid w:val="00D803D0"/>
    <w:rsid w:val="00D80DFD"/>
    <w:rsid w:val="00D81661"/>
    <w:rsid w:val="00D823C6"/>
    <w:rsid w:val="00D8276A"/>
    <w:rsid w:val="00D82C8A"/>
    <w:rsid w:val="00D8327F"/>
    <w:rsid w:val="00D84352"/>
    <w:rsid w:val="00D84FAF"/>
    <w:rsid w:val="00D85ED8"/>
    <w:rsid w:val="00D85F17"/>
    <w:rsid w:val="00D85F6B"/>
    <w:rsid w:val="00D86572"/>
    <w:rsid w:val="00D86CA3"/>
    <w:rsid w:val="00D871CE"/>
    <w:rsid w:val="00D904AC"/>
    <w:rsid w:val="00D910B2"/>
    <w:rsid w:val="00D9196D"/>
    <w:rsid w:val="00D91DAA"/>
    <w:rsid w:val="00D92982"/>
    <w:rsid w:val="00D92C95"/>
    <w:rsid w:val="00D9315C"/>
    <w:rsid w:val="00D979DB"/>
    <w:rsid w:val="00D97D6F"/>
    <w:rsid w:val="00DA153D"/>
    <w:rsid w:val="00DA15CC"/>
    <w:rsid w:val="00DA2BBF"/>
    <w:rsid w:val="00DA305E"/>
    <w:rsid w:val="00DA3EFC"/>
    <w:rsid w:val="00DA452A"/>
    <w:rsid w:val="00DA4552"/>
    <w:rsid w:val="00DA5417"/>
    <w:rsid w:val="00DA56E8"/>
    <w:rsid w:val="00DA56FF"/>
    <w:rsid w:val="00DA66EA"/>
    <w:rsid w:val="00DA7592"/>
    <w:rsid w:val="00DB07EE"/>
    <w:rsid w:val="00DB0A9F"/>
    <w:rsid w:val="00DB1461"/>
    <w:rsid w:val="00DB16CF"/>
    <w:rsid w:val="00DB1E72"/>
    <w:rsid w:val="00DB24BA"/>
    <w:rsid w:val="00DB3614"/>
    <w:rsid w:val="00DB377D"/>
    <w:rsid w:val="00DB380A"/>
    <w:rsid w:val="00DB3935"/>
    <w:rsid w:val="00DB3C8B"/>
    <w:rsid w:val="00DB3F7B"/>
    <w:rsid w:val="00DB4670"/>
    <w:rsid w:val="00DB54FF"/>
    <w:rsid w:val="00DB5830"/>
    <w:rsid w:val="00DB5B82"/>
    <w:rsid w:val="00DB5F69"/>
    <w:rsid w:val="00DB6624"/>
    <w:rsid w:val="00DB6817"/>
    <w:rsid w:val="00DB6AD3"/>
    <w:rsid w:val="00DB7045"/>
    <w:rsid w:val="00DC04E9"/>
    <w:rsid w:val="00DC0E83"/>
    <w:rsid w:val="00DC0F3F"/>
    <w:rsid w:val="00DC1BF6"/>
    <w:rsid w:val="00DC2332"/>
    <w:rsid w:val="00DC2D36"/>
    <w:rsid w:val="00DC323D"/>
    <w:rsid w:val="00DC3C19"/>
    <w:rsid w:val="00DC53EF"/>
    <w:rsid w:val="00DC54CF"/>
    <w:rsid w:val="00DC5722"/>
    <w:rsid w:val="00DC5CB7"/>
    <w:rsid w:val="00DC5D07"/>
    <w:rsid w:val="00DD00A6"/>
    <w:rsid w:val="00DD0F02"/>
    <w:rsid w:val="00DD12EC"/>
    <w:rsid w:val="00DD188B"/>
    <w:rsid w:val="00DD1BC8"/>
    <w:rsid w:val="00DD250E"/>
    <w:rsid w:val="00DD3D7E"/>
    <w:rsid w:val="00DD4591"/>
    <w:rsid w:val="00DD47D3"/>
    <w:rsid w:val="00DD51B0"/>
    <w:rsid w:val="00DD73F2"/>
    <w:rsid w:val="00DD7C61"/>
    <w:rsid w:val="00DE0392"/>
    <w:rsid w:val="00DE0C0E"/>
    <w:rsid w:val="00DE10BD"/>
    <w:rsid w:val="00DE1149"/>
    <w:rsid w:val="00DE1AC2"/>
    <w:rsid w:val="00DE2631"/>
    <w:rsid w:val="00DE369E"/>
    <w:rsid w:val="00DE3C9C"/>
    <w:rsid w:val="00DE5608"/>
    <w:rsid w:val="00DE58D0"/>
    <w:rsid w:val="00DE654F"/>
    <w:rsid w:val="00DE713E"/>
    <w:rsid w:val="00DE7B16"/>
    <w:rsid w:val="00DF021C"/>
    <w:rsid w:val="00DF0B6E"/>
    <w:rsid w:val="00DF0B91"/>
    <w:rsid w:val="00DF1069"/>
    <w:rsid w:val="00DF15E0"/>
    <w:rsid w:val="00DF28B5"/>
    <w:rsid w:val="00DF2B77"/>
    <w:rsid w:val="00DF37A0"/>
    <w:rsid w:val="00DF52CD"/>
    <w:rsid w:val="00DF5863"/>
    <w:rsid w:val="00DF5866"/>
    <w:rsid w:val="00DF645F"/>
    <w:rsid w:val="00E00BC6"/>
    <w:rsid w:val="00E01823"/>
    <w:rsid w:val="00E01E3C"/>
    <w:rsid w:val="00E040BE"/>
    <w:rsid w:val="00E045BD"/>
    <w:rsid w:val="00E04BD3"/>
    <w:rsid w:val="00E05157"/>
    <w:rsid w:val="00E075DA"/>
    <w:rsid w:val="00E107D2"/>
    <w:rsid w:val="00E110A5"/>
    <w:rsid w:val="00E110E7"/>
    <w:rsid w:val="00E11B20"/>
    <w:rsid w:val="00E127DA"/>
    <w:rsid w:val="00E12A83"/>
    <w:rsid w:val="00E13640"/>
    <w:rsid w:val="00E13E70"/>
    <w:rsid w:val="00E15289"/>
    <w:rsid w:val="00E15B95"/>
    <w:rsid w:val="00E16AD6"/>
    <w:rsid w:val="00E16D10"/>
    <w:rsid w:val="00E172CE"/>
    <w:rsid w:val="00E17FA2"/>
    <w:rsid w:val="00E21B72"/>
    <w:rsid w:val="00E22160"/>
    <w:rsid w:val="00E22330"/>
    <w:rsid w:val="00E226D2"/>
    <w:rsid w:val="00E23604"/>
    <w:rsid w:val="00E23B9B"/>
    <w:rsid w:val="00E25935"/>
    <w:rsid w:val="00E25B0A"/>
    <w:rsid w:val="00E272DB"/>
    <w:rsid w:val="00E27DF5"/>
    <w:rsid w:val="00E30B5A"/>
    <w:rsid w:val="00E3123D"/>
    <w:rsid w:val="00E31461"/>
    <w:rsid w:val="00E31647"/>
    <w:rsid w:val="00E31713"/>
    <w:rsid w:val="00E31D43"/>
    <w:rsid w:val="00E32608"/>
    <w:rsid w:val="00E328B8"/>
    <w:rsid w:val="00E32BF1"/>
    <w:rsid w:val="00E33FC7"/>
    <w:rsid w:val="00E34188"/>
    <w:rsid w:val="00E3451D"/>
    <w:rsid w:val="00E34B6E"/>
    <w:rsid w:val="00E35269"/>
    <w:rsid w:val="00E35559"/>
    <w:rsid w:val="00E35ED4"/>
    <w:rsid w:val="00E36E1B"/>
    <w:rsid w:val="00E3706F"/>
    <w:rsid w:val="00E3723A"/>
    <w:rsid w:val="00E37860"/>
    <w:rsid w:val="00E40842"/>
    <w:rsid w:val="00E409BC"/>
    <w:rsid w:val="00E40D2B"/>
    <w:rsid w:val="00E40F61"/>
    <w:rsid w:val="00E41E97"/>
    <w:rsid w:val="00E4214F"/>
    <w:rsid w:val="00E4244D"/>
    <w:rsid w:val="00E446F1"/>
    <w:rsid w:val="00E45C59"/>
    <w:rsid w:val="00E45E26"/>
    <w:rsid w:val="00E46886"/>
    <w:rsid w:val="00E47AEF"/>
    <w:rsid w:val="00E51C07"/>
    <w:rsid w:val="00E51D90"/>
    <w:rsid w:val="00E51E4C"/>
    <w:rsid w:val="00E526D4"/>
    <w:rsid w:val="00E527F3"/>
    <w:rsid w:val="00E528CE"/>
    <w:rsid w:val="00E5346B"/>
    <w:rsid w:val="00E53ADF"/>
    <w:rsid w:val="00E53B75"/>
    <w:rsid w:val="00E541A1"/>
    <w:rsid w:val="00E54E3B"/>
    <w:rsid w:val="00E5544E"/>
    <w:rsid w:val="00E5606A"/>
    <w:rsid w:val="00E57565"/>
    <w:rsid w:val="00E6104D"/>
    <w:rsid w:val="00E61645"/>
    <w:rsid w:val="00E61DE9"/>
    <w:rsid w:val="00E61E64"/>
    <w:rsid w:val="00E62CEE"/>
    <w:rsid w:val="00E630C7"/>
    <w:rsid w:val="00E63235"/>
    <w:rsid w:val="00E63838"/>
    <w:rsid w:val="00E63B70"/>
    <w:rsid w:val="00E64434"/>
    <w:rsid w:val="00E647FB"/>
    <w:rsid w:val="00E65C9D"/>
    <w:rsid w:val="00E667C4"/>
    <w:rsid w:val="00E66A77"/>
    <w:rsid w:val="00E67522"/>
    <w:rsid w:val="00E67C51"/>
    <w:rsid w:val="00E703E3"/>
    <w:rsid w:val="00E71EA2"/>
    <w:rsid w:val="00E72EFC"/>
    <w:rsid w:val="00E72F89"/>
    <w:rsid w:val="00E73FE9"/>
    <w:rsid w:val="00E7506A"/>
    <w:rsid w:val="00E75544"/>
    <w:rsid w:val="00E758EC"/>
    <w:rsid w:val="00E75934"/>
    <w:rsid w:val="00E75C04"/>
    <w:rsid w:val="00E75EC1"/>
    <w:rsid w:val="00E7643E"/>
    <w:rsid w:val="00E76DBD"/>
    <w:rsid w:val="00E7715C"/>
    <w:rsid w:val="00E779D1"/>
    <w:rsid w:val="00E80212"/>
    <w:rsid w:val="00E8234C"/>
    <w:rsid w:val="00E8396D"/>
    <w:rsid w:val="00E83AA9"/>
    <w:rsid w:val="00E8405D"/>
    <w:rsid w:val="00E8505D"/>
    <w:rsid w:val="00E856F6"/>
    <w:rsid w:val="00E85928"/>
    <w:rsid w:val="00E85B43"/>
    <w:rsid w:val="00E8655C"/>
    <w:rsid w:val="00E87783"/>
    <w:rsid w:val="00E87822"/>
    <w:rsid w:val="00E87D88"/>
    <w:rsid w:val="00E87FC7"/>
    <w:rsid w:val="00E90395"/>
    <w:rsid w:val="00E90803"/>
    <w:rsid w:val="00E908EF"/>
    <w:rsid w:val="00E90E49"/>
    <w:rsid w:val="00E917F9"/>
    <w:rsid w:val="00E9291C"/>
    <w:rsid w:val="00E9354E"/>
    <w:rsid w:val="00E9391B"/>
    <w:rsid w:val="00E93E19"/>
    <w:rsid w:val="00E93FFE"/>
    <w:rsid w:val="00E94084"/>
    <w:rsid w:val="00E94F8A"/>
    <w:rsid w:val="00E955C7"/>
    <w:rsid w:val="00E9582C"/>
    <w:rsid w:val="00E96B11"/>
    <w:rsid w:val="00E96FF8"/>
    <w:rsid w:val="00E97D40"/>
    <w:rsid w:val="00EA02D2"/>
    <w:rsid w:val="00EA18D4"/>
    <w:rsid w:val="00EA2155"/>
    <w:rsid w:val="00EA5403"/>
    <w:rsid w:val="00EA561C"/>
    <w:rsid w:val="00EA5E45"/>
    <w:rsid w:val="00EA70FE"/>
    <w:rsid w:val="00EA7277"/>
    <w:rsid w:val="00EA7A41"/>
    <w:rsid w:val="00EB077B"/>
    <w:rsid w:val="00EB0F8F"/>
    <w:rsid w:val="00EB157E"/>
    <w:rsid w:val="00EB1843"/>
    <w:rsid w:val="00EB4EA2"/>
    <w:rsid w:val="00EB53AC"/>
    <w:rsid w:val="00EB545D"/>
    <w:rsid w:val="00EC0A4E"/>
    <w:rsid w:val="00EC0BDE"/>
    <w:rsid w:val="00EC1E44"/>
    <w:rsid w:val="00EC233D"/>
    <w:rsid w:val="00EC2472"/>
    <w:rsid w:val="00EC24D5"/>
    <w:rsid w:val="00EC27C6"/>
    <w:rsid w:val="00EC2FFD"/>
    <w:rsid w:val="00EC3225"/>
    <w:rsid w:val="00EC419F"/>
    <w:rsid w:val="00EC4207"/>
    <w:rsid w:val="00EC44F4"/>
    <w:rsid w:val="00EC51DE"/>
    <w:rsid w:val="00EC55D8"/>
    <w:rsid w:val="00EC5653"/>
    <w:rsid w:val="00EC58A5"/>
    <w:rsid w:val="00EC71CE"/>
    <w:rsid w:val="00ED0025"/>
    <w:rsid w:val="00ED1006"/>
    <w:rsid w:val="00ED1244"/>
    <w:rsid w:val="00ED182E"/>
    <w:rsid w:val="00ED1D2A"/>
    <w:rsid w:val="00ED2BFD"/>
    <w:rsid w:val="00ED3EB6"/>
    <w:rsid w:val="00ED42A6"/>
    <w:rsid w:val="00ED44BA"/>
    <w:rsid w:val="00ED47A2"/>
    <w:rsid w:val="00ED4F47"/>
    <w:rsid w:val="00ED54B1"/>
    <w:rsid w:val="00ED5565"/>
    <w:rsid w:val="00ED5705"/>
    <w:rsid w:val="00ED65D6"/>
    <w:rsid w:val="00ED71DF"/>
    <w:rsid w:val="00ED7669"/>
    <w:rsid w:val="00EE0EB8"/>
    <w:rsid w:val="00EE1C7D"/>
    <w:rsid w:val="00EE24FD"/>
    <w:rsid w:val="00EE262D"/>
    <w:rsid w:val="00EE303F"/>
    <w:rsid w:val="00EE3477"/>
    <w:rsid w:val="00EE3C08"/>
    <w:rsid w:val="00EE3EA2"/>
    <w:rsid w:val="00EE53B6"/>
    <w:rsid w:val="00EE5ADE"/>
    <w:rsid w:val="00EE5F5E"/>
    <w:rsid w:val="00EE6F4B"/>
    <w:rsid w:val="00EE70FA"/>
    <w:rsid w:val="00EF0223"/>
    <w:rsid w:val="00EF06BE"/>
    <w:rsid w:val="00EF1150"/>
    <w:rsid w:val="00EF156A"/>
    <w:rsid w:val="00EF18FE"/>
    <w:rsid w:val="00EF2154"/>
    <w:rsid w:val="00EF2AB4"/>
    <w:rsid w:val="00EF3388"/>
    <w:rsid w:val="00EF342E"/>
    <w:rsid w:val="00EF3781"/>
    <w:rsid w:val="00EF5787"/>
    <w:rsid w:val="00EF5F4B"/>
    <w:rsid w:val="00EF60D0"/>
    <w:rsid w:val="00EF6891"/>
    <w:rsid w:val="00EF6EDB"/>
    <w:rsid w:val="00EF7F5E"/>
    <w:rsid w:val="00F00443"/>
    <w:rsid w:val="00F0063F"/>
    <w:rsid w:val="00F0065A"/>
    <w:rsid w:val="00F00C64"/>
    <w:rsid w:val="00F00CDE"/>
    <w:rsid w:val="00F00E85"/>
    <w:rsid w:val="00F010B2"/>
    <w:rsid w:val="00F01154"/>
    <w:rsid w:val="00F0157C"/>
    <w:rsid w:val="00F02169"/>
    <w:rsid w:val="00F023C2"/>
    <w:rsid w:val="00F0240A"/>
    <w:rsid w:val="00F0300E"/>
    <w:rsid w:val="00F03101"/>
    <w:rsid w:val="00F03D75"/>
    <w:rsid w:val="00F04286"/>
    <w:rsid w:val="00F04621"/>
    <w:rsid w:val="00F04627"/>
    <w:rsid w:val="00F048C2"/>
    <w:rsid w:val="00F04F12"/>
    <w:rsid w:val="00F04FF3"/>
    <w:rsid w:val="00F0505C"/>
    <w:rsid w:val="00F05231"/>
    <w:rsid w:val="00F0528D"/>
    <w:rsid w:val="00F06C67"/>
    <w:rsid w:val="00F06DFD"/>
    <w:rsid w:val="00F071D1"/>
    <w:rsid w:val="00F07533"/>
    <w:rsid w:val="00F101A7"/>
    <w:rsid w:val="00F10629"/>
    <w:rsid w:val="00F11065"/>
    <w:rsid w:val="00F11094"/>
    <w:rsid w:val="00F1214E"/>
    <w:rsid w:val="00F12224"/>
    <w:rsid w:val="00F12C1E"/>
    <w:rsid w:val="00F13711"/>
    <w:rsid w:val="00F13761"/>
    <w:rsid w:val="00F15552"/>
    <w:rsid w:val="00F15688"/>
    <w:rsid w:val="00F15895"/>
    <w:rsid w:val="00F15FA5"/>
    <w:rsid w:val="00F1678D"/>
    <w:rsid w:val="00F209B7"/>
    <w:rsid w:val="00F21123"/>
    <w:rsid w:val="00F21CFA"/>
    <w:rsid w:val="00F2376F"/>
    <w:rsid w:val="00F23F4C"/>
    <w:rsid w:val="00F243D8"/>
    <w:rsid w:val="00F24F58"/>
    <w:rsid w:val="00F25177"/>
    <w:rsid w:val="00F25BBC"/>
    <w:rsid w:val="00F26064"/>
    <w:rsid w:val="00F26122"/>
    <w:rsid w:val="00F26E90"/>
    <w:rsid w:val="00F27064"/>
    <w:rsid w:val="00F30085"/>
    <w:rsid w:val="00F30160"/>
    <w:rsid w:val="00F3079F"/>
    <w:rsid w:val="00F307CF"/>
    <w:rsid w:val="00F307D4"/>
    <w:rsid w:val="00F30828"/>
    <w:rsid w:val="00F313D6"/>
    <w:rsid w:val="00F31E9B"/>
    <w:rsid w:val="00F32E3E"/>
    <w:rsid w:val="00F34CE5"/>
    <w:rsid w:val="00F35A1B"/>
    <w:rsid w:val="00F365A5"/>
    <w:rsid w:val="00F36E9D"/>
    <w:rsid w:val="00F40024"/>
    <w:rsid w:val="00F404A1"/>
    <w:rsid w:val="00F40EBB"/>
    <w:rsid w:val="00F40F0C"/>
    <w:rsid w:val="00F422C4"/>
    <w:rsid w:val="00F4257A"/>
    <w:rsid w:val="00F430AA"/>
    <w:rsid w:val="00F45DE0"/>
    <w:rsid w:val="00F45E19"/>
    <w:rsid w:val="00F46710"/>
    <w:rsid w:val="00F4766C"/>
    <w:rsid w:val="00F47B1A"/>
    <w:rsid w:val="00F47BBC"/>
    <w:rsid w:val="00F5060E"/>
    <w:rsid w:val="00F507D1"/>
    <w:rsid w:val="00F518A9"/>
    <w:rsid w:val="00F519CE"/>
    <w:rsid w:val="00F51ADA"/>
    <w:rsid w:val="00F51BFD"/>
    <w:rsid w:val="00F5253A"/>
    <w:rsid w:val="00F5282D"/>
    <w:rsid w:val="00F52960"/>
    <w:rsid w:val="00F53419"/>
    <w:rsid w:val="00F53ABA"/>
    <w:rsid w:val="00F53CA8"/>
    <w:rsid w:val="00F54107"/>
    <w:rsid w:val="00F60188"/>
    <w:rsid w:val="00F60203"/>
    <w:rsid w:val="00F607C5"/>
    <w:rsid w:val="00F60921"/>
    <w:rsid w:val="00F6096B"/>
    <w:rsid w:val="00F60B8E"/>
    <w:rsid w:val="00F60DEA"/>
    <w:rsid w:val="00F61749"/>
    <w:rsid w:val="00F62210"/>
    <w:rsid w:val="00F6235E"/>
    <w:rsid w:val="00F62755"/>
    <w:rsid w:val="00F6302A"/>
    <w:rsid w:val="00F63267"/>
    <w:rsid w:val="00F63950"/>
    <w:rsid w:val="00F63F32"/>
    <w:rsid w:val="00F648CD"/>
    <w:rsid w:val="00F6492B"/>
    <w:rsid w:val="00F64C2B"/>
    <w:rsid w:val="00F651BE"/>
    <w:rsid w:val="00F66C83"/>
    <w:rsid w:val="00F670F6"/>
    <w:rsid w:val="00F67DD1"/>
    <w:rsid w:val="00F67F53"/>
    <w:rsid w:val="00F703BE"/>
    <w:rsid w:val="00F71B63"/>
    <w:rsid w:val="00F71F69"/>
    <w:rsid w:val="00F72B72"/>
    <w:rsid w:val="00F73453"/>
    <w:rsid w:val="00F73EC4"/>
    <w:rsid w:val="00F74BB9"/>
    <w:rsid w:val="00F74C9B"/>
    <w:rsid w:val="00F75582"/>
    <w:rsid w:val="00F76438"/>
    <w:rsid w:val="00F76AE2"/>
    <w:rsid w:val="00F76EFA"/>
    <w:rsid w:val="00F7793C"/>
    <w:rsid w:val="00F803BA"/>
    <w:rsid w:val="00F804BE"/>
    <w:rsid w:val="00F807FE"/>
    <w:rsid w:val="00F8105E"/>
    <w:rsid w:val="00F817CE"/>
    <w:rsid w:val="00F82615"/>
    <w:rsid w:val="00F826F9"/>
    <w:rsid w:val="00F83C25"/>
    <w:rsid w:val="00F84057"/>
    <w:rsid w:val="00F84426"/>
    <w:rsid w:val="00F8456C"/>
    <w:rsid w:val="00F84EFB"/>
    <w:rsid w:val="00F8592D"/>
    <w:rsid w:val="00F859D8"/>
    <w:rsid w:val="00F85B14"/>
    <w:rsid w:val="00F861E8"/>
    <w:rsid w:val="00F8625F"/>
    <w:rsid w:val="00F868F5"/>
    <w:rsid w:val="00F86C4C"/>
    <w:rsid w:val="00F86CFC"/>
    <w:rsid w:val="00F870EC"/>
    <w:rsid w:val="00F9056A"/>
    <w:rsid w:val="00F90F8D"/>
    <w:rsid w:val="00F915E5"/>
    <w:rsid w:val="00F92782"/>
    <w:rsid w:val="00F93AA9"/>
    <w:rsid w:val="00F93D15"/>
    <w:rsid w:val="00F93F3A"/>
    <w:rsid w:val="00F94281"/>
    <w:rsid w:val="00F9435C"/>
    <w:rsid w:val="00F943BB"/>
    <w:rsid w:val="00F94F63"/>
    <w:rsid w:val="00F95477"/>
    <w:rsid w:val="00F9551A"/>
    <w:rsid w:val="00F95F99"/>
    <w:rsid w:val="00F9626D"/>
    <w:rsid w:val="00F96985"/>
    <w:rsid w:val="00F9753D"/>
    <w:rsid w:val="00F97838"/>
    <w:rsid w:val="00FA0737"/>
    <w:rsid w:val="00FA0A61"/>
    <w:rsid w:val="00FA0E4C"/>
    <w:rsid w:val="00FA15F9"/>
    <w:rsid w:val="00FA1A78"/>
    <w:rsid w:val="00FA1E6B"/>
    <w:rsid w:val="00FA22F6"/>
    <w:rsid w:val="00FA2BB3"/>
    <w:rsid w:val="00FA3D70"/>
    <w:rsid w:val="00FA4763"/>
    <w:rsid w:val="00FA5265"/>
    <w:rsid w:val="00FA65CA"/>
    <w:rsid w:val="00FA755D"/>
    <w:rsid w:val="00FA7DD2"/>
    <w:rsid w:val="00FB01C6"/>
    <w:rsid w:val="00FB1D2B"/>
    <w:rsid w:val="00FB1D62"/>
    <w:rsid w:val="00FB35C0"/>
    <w:rsid w:val="00FB3FCC"/>
    <w:rsid w:val="00FB48EC"/>
    <w:rsid w:val="00FB4C80"/>
    <w:rsid w:val="00FB6A6A"/>
    <w:rsid w:val="00FB70A5"/>
    <w:rsid w:val="00FB7E5E"/>
    <w:rsid w:val="00FC3A94"/>
    <w:rsid w:val="00FC4AF5"/>
    <w:rsid w:val="00FC4DE2"/>
    <w:rsid w:val="00FC4EF2"/>
    <w:rsid w:val="00FC56C3"/>
    <w:rsid w:val="00FC5C5F"/>
    <w:rsid w:val="00FC6770"/>
    <w:rsid w:val="00FC741D"/>
    <w:rsid w:val="00FC7429"/>
    <w:rsid w:val="00FC7892"/>
    <w:rsid w:val="00FD026C"/>
    <w:rsid w:val="00FD0575"/>
    <w:rsid w:val="00FD07F6"/>
    <w:rsid w:val="00FD097A"/>
    <w:rsid w:val="00FD1EC8"/>
    <w:rsid w:val="00FD23CB"/>
    <w:rsid w:val="00FD23DD"/>
    <w:rsid w:val="00FD2A80"/>
    <w:rsid w:val="00FD47ED"/>
    <w:rsid w:val="00FD4AC1"/>
    <w:rsid w:val="00FD4B8F"/>
    <w:rsid w:val="00FD4E51"/>
    <w:rsid w:val="00FD4EF8"/>
    <w:rsid w:val="00FD4F95"/>
    <w:rsid w:val="00FD6464"/>
    <w:rsid w:val="00FD74DB"/>
    <w:rsid w:val="00FD7660"/>
    <w:rsid w:val="00FE0242"/>
    <w:rsid w:val="00FE0655"/>
    <w:rsid w:val="00FE066B"/>
    <w:rsid w:val="00FE0DB9"/>
    <w:rsid w:val="00FE14F0"/>
    <w:rsid w:val="00FE1711"/>
    <w:rsid w:val="00FE2365"/>
    <w:rsid w:val="00FE37D7"/>
    <w:rsid w:val="00FE3AAC"/>
    <w:rsid w:val="00FE3D66"/>
    <w:rsid w:val="00FE4C7B"/>
    <w:rsid w:val="00FE5464"/>
    <w:rsid w:val="00FE5DC4"/>
    <w:rsid w:val="00FE6DDA"/>
    <w:rsid w:val="00FE7336"/>
    <w:rsid w:val="00FE7376"/>
    <w:rsid w:val="00FE787C"/>
    <w:rsid w:val="00FF0251"/>
    <w:rsid w:val="00FF1F8F"/>
    <w:rsid w:val="00FF3021"/>
    <w:rsid w:val="00FF37DF"/>
    <w:rsid w:val="00FF3D51"/>
    <w:rsid w:val="00FF45A5"/>
    <w:rsid w:val="00FF567C"/>
    <w:rsid w:val="00FF5B61"/>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50F40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88A"/>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5828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288A"/>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rPr>
  </w:style>
  <w:style w:type="character" w:styleId="Hyperlink">
    <w:name w:val="Hyperlink"/>
    <w:uiPriority w:val="99"/>
    <w:qFormat/>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qFormat/>
    <w:rsid w:val="00F915E5"/>
    <w:rPr>
      <w:sz w:val="16"/>
      <w:szCs w:val="16"/>
    </w:rPr>
  </w:style>
  <w:style w:type="paragraph" w:styleId="CommentText">
    <w:name w:val="annotation text"/>
    <w:basedOn w:val="Normal"/>
    <w:link w:val="CommentTextChar"/>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qFormat/>
    <w:rsid w:val="00F915E5"/>
    <w:rPr>
      <w:rFonts w:ascii="Times New Roman" w:hAnsi="Times New Roman"/>
    </w:rPr>
  </w:style>
  <w:style w:type="paragraph" w:customStyle="1" w:styleId="B2">
    <w:name w:val="B2"/>
    <w:basedOn w:val="List2"/>
    <w:link w:val="B2Char"/>
    <w:qFormat/>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qFormat/>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uiPriority w:val="20"/>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F915E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basedOn w:val="TableNormal"/>
    <w:qFormat/>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eastAsiaTheme="minorHAnsi" w:hAnsi="Arial" w:cstheme="minorBidi"/>
      <w:b/>
      <w:bCs/>
      <w:sz w:val="22"/>
      <w:szCs w:val="22"/>
      <w:lang w:val="sv-SE" w:eastAsia="en-US"/>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qFormat/>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spacing w:before="100" w:beforeAutospacing="1" w:after="100" w:afterAutospacing="1"/>
    </w:p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eastAsiaTheme="minorHAnsi" w:hAnsi="Arial" w:cstheme="minorBidi"/>
      <w:sz w:val="22"/>
      <w:szCs w:val="22"/>
      <w:lang w:val="sv-SE" w:eastAsia="en-US"/>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character" w:styleId="UnresolvedMention">
    <w:name w:val="Unresolved Mention"/>
    <w:basedOn w:val="DefaultParagraphFont"/>
    <w:uiPriority w:val="99"/>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16"/>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15"/>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17"/>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4"/>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19"/>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18"/>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3"/>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ThorbjrnTrnstrm">
    <w:name w:val="Thorbjörn Tärnström"/>
    <w:semiHidden/>
    <w:rsid w:val="00176930"/>
    <w:rPr>
      <w:rFonts w:ascii="Arial" w:hAnsi="Arial" w:cs="Arial"/>
      <w:color w:val="auto"/>
      <w:sz w:val="20"/>
      <w:szCs w:val="20"/>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paragraph" w:customStyle="1" w:styleId="listparagraph0">
    <w:name w:val="listparagraph"/>
    <w:basedOn w:val="Normal"/>
    <w:rsid w:val="00094B2B"/>
    <w:pPr>
      <w:spacing w:before="100" w:beforeAutospacing="1" w:after="100" w:afterAutospacing="1" w:line="240" w:lineRule="auto"/>
    </w:pPr>
    <w:rPr>
      <w:rFonts w:ascii="Calibri" w:eastAsia="Calibri" w:hAnsi="Calibri" w:cs="Calibri"/>
    </w:rPr>
  </w:style>
  <w:style w:type="table" w:styleId="MediumList2-Accent1">
    <w:name w:val="Medium List 2 Accent 1"/>
    <w:basedOn w:val="TableNormal"/>
    <w:uiPriority w:val="66"/>
    <w:rsid w:val="006C4A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49E39" w:themeColor="accent1"/>
        <w:left w:val="single" w:sz="8" w:space="0" w:color="549E39" w:themeColor="accent1"/>
        <w:bottom w:val="single" w:sz="8" w:space="0" w:color="549E39" w:themeColor="accent1"/>
        <w:right w:val="single" w:sz="8" w:space="0" w:color="549E39" w:themeColor="accent1"/>
      </w:tblBorders>
    </w:tblPr>
    <w:tblStylePr w:type="firstRow">
      <w:rPr>
        <w:sz w:val="24"/>
        <w:szCs w:val="24"/>
      </w:rPr>
      <w:tblPr/>
      <w:tcPr>
        <w:tcBorders>
          <w:top w:val="nil"/>
          <w:left w:val="nil"/>
          <w:bottom w:val="single" w:sz="24" w:space="0" w:color="549E39" w:themeColor="accent1"/>
          <w:right w:val="nil"/>
          <w:insideH w:val="nil"/>
          <w:insideV w:val="nil"/>
        </w:tcBorders>
        <w:shd w:val="clear" w:color="auto" w:fill="FFFFFF" w:themeFill="background1"/>
      </w:tcPr>
    </w:tblStylePr>
    <w:tblStylePr w:type="lastRow">
      <w:tblPr/>
      <w:tcPr>
        <w:tcBorders>
          <w:top w:val="single" w:sz="8" w:space="0" w:color="549E3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49E39" w:themeColor="accent1"/>
          <w:insideH w:val="nil"/>
          <w:insideV w:val="nil"/>
        </w:tcBorders>
        <w:shd w:val="clear" w:color="auto" w:fill="FFFFFF" w:themeFill="background1"/>
      </w:tcPr>
    </w:tblStylePr>
    <w:tblStylePr w:type="lastCol">
      <w:tblPr/>
      <w:tcPr>
        <w:tcBorders>
          <w:top w:val="nil"/>
          <w:left w:val="single" w:sz="8" w:space="0" w:color="549E3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BC9" w:themeFill="accent1" w:themeFillTint="3F"/>
      </w:tcPr>
    </w:tblStylePr>
    <w:tblStylePr w:type="band1Horz">
      <w:tblPr/>
      <w:tcPr>
        <w:tcBorders>
          <w:top w:val="nil"/>
          <w:bottom w:val="nil"/>
          <w:insideH w:val="nil"/>
          <w:insideV w:val="nil"/>
        </w:tcBorders>
        <w:shd w:val="clear" w:color="auto" w:fill="D2EBC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List-Accent3">
    <w:name w:val="Light List Accent 3"/>
    <w:basedOn w:val="TableNormal"/>
    <w:uiPriority w:val="61"/>
    <w:rsid w:val="000E11C0"/>
    <w:rPr>
      <w:rFonts w:asciiTheme="minorHAnsi" w:eastAsiaTheme="minorEastAsia" w:hAnsiTheme="minorHAnsi" w:cstheme="minorBidi"/>
      <w:sz w:val="22"/>
      <w:szCs w:val="22"/>
      <w:lang w:val="en-US" w:eastAsia="en-US"/>
    </w:rPr>
    <w:tblPr>
      <w:tblStyleRowBandSize w:val="1"/>
      <w:tblStyleColBandSize w:val="1"/>
      <w:tblBorders>
        <w:top w:val="single" w:sz="8" w:space="0" w:color="C0CF3A" w:themeColor="accent3"/>
        <w:left w:val="single" w:sz="8" w:space="0" w:color="C0CF3A" w:themeColor="accent3"/>
        <w:bottom w:val="single" w:sz="8" w:space="0" w:color="C0CF3A" w:themeColor="accent3"/>
        <w:right w:val="single" w:sz="8" w:space="0" w:color="C0CF3A" w:themeColor="accent3"/>
      </w:tblBorders>
    </w:tblPr>
    <w:tblStylePr w:type="firstRow">
      <w:pPr>
        <w:spacing w:before="0" w:after="0" w:line="240" w:lineRule="auto"/>
      </w:pPr>
      <w:rPr>
        <w:b/>
        <w:bCs/>
        <w:color w:val="FFFFFF" w:themeColor="background1"/>
      </w:rPr>
      <w:tblPr/>
      <w:tcPr>
        <w:shd w:val="clear" w:color="auto" w:fill="C0CF3A" w:themeFill="accent3"/>
      </w:tcPr>
    </w:tblStylePr>
    <w:tblStylePr w:type="lastRow">
      <w:pPr>
        <w:spacing w:before="0" w:after="0" w:line="240" w:lineRule="auto"/>
      </w:pPr>
      <w:rPr>
        <w:b/>
        <w:bCs/>
      </w:rPr>
      <w:tblPr/>
      <w:tcPr>
        <w:tcBorders>
          <w:top w:val="double" w:sz="6" w:space="0" w:color="C0CF3A" w:themeColor="accent3"/>
          <w:left w:val="single" w:sz="8" w:space="0" w:color="C0CF3A" w:themeColor="accent3"/>
          <w:bottom w:val="single" w:sz="8" w:space="0" w:color="C0CF3A" w:themeColor="accent3"/>
          <w:right w:val="single" w:sz="8" w:space="0" w:color="C0CF3A" w:themeColor="accent3"/>
        </w:tcBorders>
      </w:tcPr>
    </w:tblStylePr>
    <w:tblStylePr w:type="firstCol">
      <w:rPr>
        <w:b/>
        <w:bCs/>
      </w:rPr>
    </w:tblStylePr>
    <w:tblStylePr w:type="lastCol">
      <w:rPr>
        <w:b/>
        <w:bCs/>
      </w:rPr>
    </w:tblStylePr>
    <w:tblStylePr w:type="band1Vert">
      <w:tblPr/>
      <w:tcPr>
        <w:tcBorders>
          <w:top w:val="single" w:sz="8" w:space="0" w:color="C0CF3A" w:themeColor="accent3"/>
          <w:left w:val="single" w:sz="8" w:space="0" w:color="C0CF3A" w:themeColor="accent3"/>
          <w:bottom w:val="single" w:sz="8" w:space="0" w:color="C0CF3A" w:themeColor="accent3"/>
          <w:right w:val="single" w:sz="8" w:space="0" w:color="C0CF3A" w:themeColor="accent3"/>
        </w:tcBorders>
      </w:tcPr>
    </w:tblStylePr>
    <w:tblStylePr w:type="band1Horz">
      <w:tblPr/>
      <w:tcPr>
        <w:tcBorders>
          <w:top w:val="single" w:sz="8" w:space="0" w:color="C0CF3A" w:themeColor="accent3"/>
          <w:left w:val="single" w:sz="8" w:space="0" w:color="C0CF3A" w:themeColor="accent3"/>
          <w:bottom w:val="single" w:sz="8" w:space="0" w:color="C0CF3A" w:themeColor="accent3"/>
          <w:right w:val="single" w:sz="8" w:space="0" w:color="C0CF3A" w:themeColor="accent3"/>
        </w:tcBorders>
      </w:tcPr>
    </w:tblStylePr>
  </w:style>
  <w:style w:type="character" w:styleId="Mention">
    <w:name w:val="Mention"/>
    <w:basedOn w:val="DefaultParagraphFont"/>
    <w:uiPriority w:val="99"/>
    <w:unhideWhenUsed/>
    <w:rsid w:val="009833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1862">
      <w:bodyDiv w:val="1"/>
      <w:marLeft w:val="0"/>
      <w:marRight w:val="0"/>
      <w:marTop w:val="0"/>
      <w:marBottom w:val="0"/>
      <w:divBdr>
        <w:top w:val="none" w:sz="0" w:space="0" w:color="auto"/>
        <w:left w:val="none" w:sz="0" w:space="0" w:color="auto"/>
        <w:bottom w:val="none" w:sz="0" w:space="0" w:color="auto"/>
        <w:right w:val="none" w:sz="0" w:space="0" w:color="auto"/>
      </w:divBdr>
      <w:divsChild>
        <w:div w:id="2050303769">
          <w:marLeft w:val="576"/>
          <w:marRight w:val="0"/>
          <w:marTop w:val="160"/>
          <w:marBottom w:val="0"/>
          <w:divBdr>
            <w:top w:val="none" w:sz="0" w:space="0" w:color="auto"/>
            <w:left w:val="none" w:sz="0" w:space="0" w:color="auto"/>
            <w:bottom w:val="none" w:sz="0" w:space="0" w:color="auto"/>
            <w:right w:val="none" w:sz="0" w:space="0" w:color="auto"/>
          </w:divBdr>
        </w:div>
      </w:divsChild>
    </w:div>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21707128">
      <w:bodyDiv w:val="1"/>
      <w:marLeft w:val="0"/>
      <w:marRight w:val="0"/>
      <w:marTop w:val="0"/>
      <w:marBottom w:val="0"/>
      <w:divBdr>
        <w:top w:val="none" w:sz="0" w:space="0" w:color="auto"/>
        <w:left w:val="none" w:sz="0" w:space="0" w:color="auto"/>
        <w:bottom w:val="none" w:sz="0" w:space="0" w:color="auto"/>
        <w:right w:val="none" w:sz="0" w:space="0" w:color="auto"/>
      </w:divBdr>
      <w:divsChild>
        <w:div w:id="1446080276">
          <w:marLeft w:val="850"/>
          <w:marRight w:val="0"/>
          <w:marTop w:val="160"/>
          <w:marBottom w:val="0"/>
          <w:divBdr>
            <w:top w:val="none" w:sz="0" w:space="0" w:color="auto"/>
            <w:left w:val="none" w:sz="0" w:space="0" w:color="auto"/>
            <w:bottom w:val="none" w:sz="0" w:space="0" w:color="auto"/>
            <w:right w:val="none" w:sz="0" w:space="0" w:color="auto"/>
          </w:divBdr>
        </w:div>
      </w:divsChild>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05197317">
      <w:bodyDiv w:val="1"/>
      <w:marLeft w:val="0"/>
      <w:marRight w:val="0"/>
      <w:marTop w:val="0"/>
      <w:marBottom w:val="0"/>
      <w:divBdr>
        <w:top w:val="none" w:sz="0" w:space="0" w:color="auto"/>
        <w:left w:val="none" w:sz="0" w:space="0" w:color="auto"/>
        <w:bottom w:val="none" w:sz="0" w:space="0" w:color="auto"/>
        <w:right w:val="none" w:sz="0" w:space="0" w:color="auto"/>
      </w:divBdr>
      <w:divsChild>
        <w:div w:id="570963665">
          <w:marLeft w:val="288"/>
          <w:marRight w:val="0"/>
          <w:marTop w:val="0"/>
          <w:marBottom w:val="0"/>
          <w:divBdr>
            <w:top w:val="none" w:sz="0" w:space="0" w:color="auto"/>
            <w:left w:val="none" w:sz="0" w:space="0" w:color="auto"/>
            <w:bottom w:val="none" w:sz="0" w:space="0" w:color="auto"/>
            <w:right w:val="none" w:sz="0" w:space="0" w:color="auto"/>
          </w:divBdr>
        </w:div>
        <w:div w:id="572351506">
          <w:marLeft w:val="547"/>
          <w:marRight w:val="0"/>
          <w:marTop w:val="0"/>
          <w:marBottom w:val="0"/>
          <w:divBdr>
            <w:top w:val="none" w:sz="0" w:space="0" w:color="auto"/>
            <w:left w:val="none" w:sz="0" w:space="0" w:color="auto"/>
            <w:bottom w:val="none" w:sz="0" w:space="0" w:color="auto"/>
            <w:right w:val="none" w:sz="0" w:space="0" w:color="auto"/>
          </w:divBdr>
        </w:div>
      </w:divsChild>
    </w:div>
    <w:div w:id="117647019">
      <w:bodyDiv w:val="1"/>
      <w:marLeft w:val="0"/>
      <w:marRight w:val="0"/>
      <w:marTop w:val="0"/>
      <w:marBottom w:val="0"/>
      <w:divBdr>
        <w:top w:val="none" w:sz="0" w:space="0" w:color="auto"/>
        <w:left w:val="none" w:sz="0" w:space="0" w:color="auto"/>
        <w:bottom w:val="none" w:sz="0" w:space="0" w:color="auto"/>
        <w:right w:val="none" w:sz="0" w:space="0" w:color="auto"/>
      </w:divBdr>
    </w:div>
    <w:div w:id="123501714">
      <w:bodyDiv w:val="1"/>
      <w:marLeft w:val="0"/>
      <w:marRight w:val="0"/>
      <w:marTop w:val="0"/>
      <w:marBottom w:val="0"/>
      <w:divBdr>
        <w:top w:val="none" w:sz="0" w:space="0" w:color="auto"/>
        <w:left w:val="none" w:sz="0" w:space="0" w:color="auto"/>
        <w:bottom w:val="none" w:sz="0" w:space="0" w:color="auto"/>
        <w:right w:val="none" w:sz="0" w:space="0" w:color="auto"/>
      </w:divBdr>
    </w:div>
    <w:div w:id="125394887">
      <w:bodyDiv w:val="1"/>
      <w:marLeft w:val="0"/>
      <w:marRight w:val="0"/>
      <w:marTop w:val="0"/>
      <w:marBottom w:val="0"/>
      <w:divBdr>
        <w:top w:val="none" w:sz="0" w:space="0" w:color="auto"/>
        <w:left w:val="none" w:sz="0" w:space="0" w:color="auto"/>
        <w:bottom w:val="none" w:sz="0" w:space="0" w:color="auto"/>
        <w:right w:val="none" w:sz="0" w:space="0" w:color="auto"/>
      </w:divBdr>
      <w:divsChild>
        <w:div w:id="252402591">
          <w:marLeft w:val="547"/>
          <w:marRight w:val="0"/>
          <w:marTop w:val="60"/>
          <w:marBottom w:val="0"/>
          <w:divBdr>
            <w:top w:val="none" w:sz="0" w:space="0" w:color="auto"/>
            <w:left w:val="none" w:sz="0" w:space="0" w:color="auto"/>
            <w:bottom w:val="none" w:sz="0" w:space="0" w:color="auto"/>
            <w:right w:val="none" w:sz="0" w:space="0" w:color="auto"/>
          </w:divBdr>
        </w:div>
      </w:divsChild>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33643126">
      <w:bodyDiv w:val="1"/>
      <w:marLeft w:val="0"/>
      <w:marRight w:val="0"/>
      <w:marTop w:val="0"/>
      <w:marBottom w:val="0"/>
      <w:divBdr>
        <w:top w:val="none" w:sz="0" w:space="0" w:color="auto"/>
        <w:left w:val="none" w:sz="0" w:space="0" w:color="auto"/>
        <w:bottom w:val="none" w:sz="0" w:space="0" w:color="auto"/>
        <w:right w:val="none" w:sz="0" w:space="0" w:color="auto"/>
      </w:divBdr>
      <w:divsChild>
        <w:div w:id="1398627120">
          <w:marLeft w:val="1166"/>
          <w:marRight w:val="0"/>
          <w:marTop w:val="160"/>
          <w:marBottom w:val="0"/>
          <w:divBdr>
            <w:top w:val="none" w:sz="0" w:space="0" w:color="auto"/>
            <w:left w:val="none" w:sz="0" w:space="0" w:color="auto"/>
            <w:bottom w:val="none" w:sz="0" w:space="0" w:color="auto"/>
            <w:right w:val="none" w:sz="0" w:space="0" w:color="auto"/>
          </w:divBdr>
        </w:div>
        <w:div w:id="1461148829">
          <w:marLeft w:val="1512"/>
          <w:marRight w:val="0"/>
          <w:marTop w:val="160"/>
          <w:marBottom w:val="0"/>
          <w:divBdr>
            <w:top w:val="none" w:sz="0" w:space="0" w:color="auto"/>
            <w:left w:val="none" w:sz="0" w:space="0" w:color="auto"/>
            <w:bottom w:val="none" w:sz="0" w:space="0" w:color="auto"/>
            <w:right w:val="none" w:sz="0" w:space="0" w:color="auto"/>
          </w:divBdr>
        </w:div>
        <w:div w:id="1825311225">
          <w:marLeft w:val="1166"/>
          <w:marRight w:val="0"/>
          <w:marTop w:val="160"/>
          <w:marBottom w:val="0"/>
          <w:divBdr>
            <w:top w:val="none" w:sz="0" w:space="0" w:color="auto"/>
            <w:left w:val="none" w:sz="0" w:space="0" w:color="auto"/>
            <w:bottom w:val="none" w:sz="0" w:space="0" w:color="auto"/>
            <w:right w:val="none" w:sz="0" w:space="0" w:color="auto"/>
          </w:divBdr>
        </w:div>
      </w:divsChild>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7131220">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40989529">
      <w:bodyDiv w:val="1"/>
      <w:marLeft w:val="0"/>
      <w:marRight w:val="0"/>
      <w:marTop w:val="0"/>
      <w:marBottom w:val="0"/>
      <w:divBdr>
        <w:top w:val="none" w:sz="0" w:space="0" w:color="auto"/>
        <w:left w:val="none" w:sz="0" w:space="0" w:color="auto"/>
        <w:bottom w:val="none" w:sz="0" w:space="0" w:color="auto"/>
        <w:right w:val="none" w:sz="0" w:space="0" w:color="auto"/>
      </w:divBdr>
      <w:divsChild>
        <w:div w:id="883250949">
          <w:marLeft w:val="288"/>
          <w:marRight w:val="0"/>
          <w:marTop w:val="160"/>
          <w:marBottom w:val="0"/>
          <w:divBdr>
            <w:top w:val="none" w:sz="0" w:space="0" w:color="auto"/>
            <w:left w:val="none" w:sz="0" w:space="0" w:color="auto"/>
            <w:bottom w:val="none" w:sz="0" w:space="0" w:color="auto"/>
            <w:right w:val="none" w:sz="0" w:space="0" w:color="auto"/>
          </w:divBdr>
        </w:div>
      </w:divsChild>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65576879">
      <w:bodyDiv w:val="1"/>
      <w:marLeft w:val="0"/>
      <w:marRight w:val="0"/>
      <w:marTop w:val="0"/>
      <w:marBottom w:val="0"/>
      <w:divBdr>
        <w:top w:val="none" w:sz="0" w:space="0" w:color="auto"/>
        <w:left w:val="none" w:sz="0" w:space="0" w:color="auto"/>
        <w:bottom w:val="none" w:sz="0" w:space="0" w:color="auto"/>
        <w:right w:val="none" w:sz="0" w:space="0" w:color="auto"/>
      </w:divBdr>
    </w:div>
    <w:div w:id="268314512">
      <w:bodyDiv w:val="1"/>
      <w:marLeft w:val="0"/>
      <w:marRight w:val="0"/>
      <w:marTop w:val="0"/>
      <w:marBottom w:val="0"/>
      <w:divBdr>
        <w:top w:val="none" w:sz="0" w:space="0" w:color="auto"/>
        <w:left w:val="none" w:sz="0" w:space="0" w:color="auto"/>
        <w:bottom w:val="none" w:sz="0" w:space="0" w:color="auto"/>
        <w:right w:val="none" w:sz="0" w:space="0" w:color="auto"/>
      </w:divBdr>
      <w:divsChild>
        <w:div w:id="147091975">
          <w:marLeft w:val="547"/>
          <w:marRight w:val="0"/>
          <w:marTop w:val="120"/>
          <w:marBottom w:val="120"/>
          <w:divBdr>
            <w:top w:val="none" w:sz="0" w:space="0" w:color="auto"/>
            <w:left w:val="none" w:sz="0" w:space="0" w:color="auto"/>
            <w:bottom w:val="none" w:sz="0" w:space="0" w:color="auto"/>
            <w:right w:val="none" w:sz="0" w:space="0" w:color="auto"/>
          </w:divBdr>
        </w:div>
        <w:div w:id="1110005522">
          <w:marLeft w:val="547"/>
          <w:marRight w:val="0"/>
          <w:marTop w:val="120"/>
          <w:marBottom w:val="120"/>
          <w:divBdr>
            <w:top w:val="none" w:sz="0" w:space="0" w:color="auto"/>
            <w:left w:val="none" w:sz="0" w:space="0" w:color="auto"/>
            <w:bottom w:val="none" w:sz="0" w:space="0" w:color="auto"/>
            <w:right w:val="none" w:sz="0" w:space="0" w:color="auto"/>
          </w:divBdr>
        </w:div>
      </w:divsChild>
    </w:div>
    <w:div w:id="285083665">
      <w:bodyDiv w:val="1"/>
      <w:marLeft w:val="0"/>
      <w:marRight w:val="0"/>
      <w:marTop w:val="0"/>
      <w:marBottom w:val="0"/>
      <w:divBdr>
        <w:top w:val="none" w:sz="0" w:space="0" w:color="auto"/>
        <w:left w:val="none" w:sz="0" w:space="0" w:color="auto"/>
        <w:bottom w:val="none" w:sz="0" w:space="0" w:color="auto"/>
        <w:right w:val="none" w:sz="0" w:space="0" w:color="auto"/>
      </w:divBdr>
      <w:divsChild>
        <w:div w:id="842623284">
          <w:marLeft w:val="576"/>
          <w:marRight w:val="0"/>
          <w:marTop w:val="160"/>
          <w:marBottom w:val="0"/>
          <w:divBdr>
            <w:top w:val="none" w:sz="0" w:space="0" w:color="auto"/>
            <w:left w:val="none" w:sz="0" w:space="0" w:color="auto"/>
            <w:bottom w:val="none" w:sz="0" w:space="0" w:color="auto"/>
            <w:right w:val="none" w:sz="0" w:space="0" w:color="auto"/>
          </w:divBdr>
        </w:div>
      </w:divsChild>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433676045">
      <w:bodyDiv w:val="1"/>
      <w:marLeft w:val="0"/>
      <w:marRight w:val="0"/>
      <w:marTop w:val="0"/>
      <w:marBottom w:val="0"/>
      <w:divBdr>
        <w:top w:val="none" w:sz="0" w:space="0" w:color="auto"/>
        <w:left w:val="none" w:sz="0" w:space="0" w:color="auto"/>
        <w:bottom w:val="none" w:sz="0" w:space="0" w:color="auto"/>
        <w:right w:val="none" w:sz="0" w:space="0" w:color="auto"/>
      </w:divBdr>
      <w:divsChild>
        <w:div w:id="304820411">
          <w:marLeft w:val="1138"/>
          <w:marRight w:val="0"/>
          <w:marTop w:val="160"/>
          <w:marBottom w:val="0"/>
          <w:divBdr>
            <w:top w:val="none" w:sz="0" w:space="0" w:color="auto"/>
            <w:left w:val="none" w:sz="0" w:space="0" w:color="auto"/>
            <w:bottom w:val="none" w:sz="0" w:space="0" w:color="auto"/>
            <w:right w:val="none" w:sz="0" w:space="0" w:color="auto"/>
          </w:divBdr>
        </w:div>
      </w:divsChild>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48625970">
      <w:bodyDiv w:val="1"/>
      <w:marLeft w:val="0"/>
      <w:marRight w:val="0"/>
      <w:marTop w:val="0"/>
      <w:marBottom w:val="0"/>
      <w:divBdr>
        <w:top w:val="none" w:sz="0" w:space="0" w:color="auto"/>
        <w:left w:val="none" w:sz="0" w:space="0" w:color="auto"/>
        <w:bottom w:val="none" w:sz="0" w:space="0" w:color="auto"/>
        <w:right w:val="none" w:sz="0" w:space="0" w:color="auto"/>
      </w:divBdr>
      <w:divsChild>
        <w:div w:id="699935809">
          <w:marLeft w:val="576"/>
          <w:marRight w:val="0"/>
          <w:marTop w:val="160"/>
          <w:marBottom w:val="0"/>
          <w:divBdr>
            <w:top w:val="none" w:sz="0" w:space="0" w:color="auto"/>
            <w:left w:val="none" w:sz="0" w:space="0" w:color="auto"/>
            <w:bottom w:val="none" w:sz="0" w:space="0" w:color="auto"/>
            <w:right w:val="none" w:sz="0" w:space="0" w:color="auto"/>
          </w:divBdr>
        </w:div>
        <w:div w:id="737170515">
          <w:marLeft w:val="288"/>
          <w:marRight w:val="0"/>
          <w:marTop w:val="160"/>
          <w:marBottom w:val="0"/>
          <w:divBdr>
            <w:top w:val="none" w:sz="0" w:space="0" w:color="auto"/>
            <w:left w:val="none" w:sz="0" w:space="0" w:color="auto"/>
            <w:bottom w:val="none" w:sz="0" w:space="0" w:color="auto"/>
            <w:right w:val="none" w:sz="0" w:space="0" w:color="auto"/>
          </w:divBdr>
        </w:div>
        <w:div w:id="1199665998">
          <w:marLeft w:val="576"/>
          <w:marRight w:val="0"/>
          <w:marTop w:val="160"/>
          <w:marBottom w:val="0"/>
          <w:divBdr>
            <w:top w:val="none" w:sz="0" w:space="0" w:color="auto"/>
            <w:left w:val="none" w:sz="0" w:space="0" w:color="auto"/>
            <w:bottom w:val="none" w:sz="0" w:space="0" w:color="auto"/>
            <w:right w:val="none" w:sz="0" w:space="0" w:color="auto"/>
          </w:divBdr>
        </w:div>
      </w:divsChild>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6822458">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00198774">
      <w:bodyDiv w:val="1"/>
      <w:marLeft w:val="0"/>
      <w:marRight w:val="0"/>
      <w:marTop w:val="0"/>
      <w:marBottom w:val="0"/>
      <w:divBdr>
        <w:top w:val="none" w:sz="0" w:space="0" w:color="auto"/>
        <w:left w:val="none" w:sz="0" w:space="0" w:color="auto"/>
        <w:bottom w:val="none" w:sz="0" w:space="0" w:color="auto"/>
        <w:right w:val="none" w:sz="0" w:space="0" w:color="auto"/>
      </w:divBdr>
      <w:divsChild>
        <w:div w:id="1899315012">
          <w:marLeft w:val="1699"/>
          <w:marRight w:val="0"/>
          <w:marTop w:val="60"/>
          <w:marBottom w:val="0"/>
          <w:divBdr>
            <w:top w:val="none" w:sz="0" w:space="0" w:color="auto"/>
            <w:left w:val="none" w:sz="0" w:space="0" w:color="auto"/>
            <w:bottom w:val="none" w:sz="0" w:space="0" w:color="auto"/>
            <w:right w:val="none" w:sz="0" w:space="0" w:color="auto"/>
          </w:divBdr>
        </w:div>
      </w:divsChild>
    </w:div>
    <w:div w:id="512648934">
      <w:bodyDiv w:val="1"/>
      <w:marLeft w:val="0"/>
      <w:marRight w:val="0"/>
      <w:marTop w:val="0"/>
      <w:marBottom w:val="0"/>
      <w:divBdr>
        <w:top w:val="none" w:sz="0" w:space="0" w:color="auto"/>
        <w:left w:val="none" w:sz="0" w:space="0" w:color="auto"/>
        <w:bottom w:val="none" w:sz="0" w:space="0" w:color="auto"/>
        <w:right w:val="none" w:sz="0" w:space="0" w:color="auto"/>
      </w:divBdr>
      <w:divsChild>
        <w:div w:id="764883916">
          <w:marLeft w:val="1123"/>
          <w:marRight w:val="0"/>
          <w:marTop w:val="60"/>
          <w:marBottom w:val="0"/>
          <w:divBdr>
            <w:top w:val="none" w:sz="0" w:space="0" w:color="auto"/>
            <w:left w:val="none" w:sz="0" w:space="0" w:color="auto"/>
            <w:bottom w:val="none" w:sz="0" w:space="0" w:color="auto"/>
            <w:right w:val="none" w:sz="0" w:space="0" w:color="auto"/>
          </w:divBdr>
        </w:div>
      </w:divsChild>
    </w:div>
    <w:div w:id="523595082">
      <w:bodyDiv w:val="1"/>
      <w:marLeft w:val="0"/>
      <w:marRight w:val="0"/>
      <w:marTop w:val="0"/>
      <w:marBottom w:val="0"/>
      <w:divBdr>
        <w:top w:val="none" w:sz="0" w:space="0" w:color="auto"/>
        <w:left w:val="none" w:sz="0" w:space="0" w:color="auto"/>
        <w:bottom w:val="none" w:sz="0" w:space="0" w:color="auto"/>
        <w:right w:val="none" w:sz="0" w:space="0" w:color="auto"/>
      </w:divBdr>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59171540">
      <w:bodyDiv w:val="1"/>
      <w:marLeft w:val="0"/>
      <w:marRight w:val="0"/>
      <w:marTop w:val="0"/>
      <w:marBottom w:val="0"/>
      <w:divBdr>
        <w:top w:val="none" w:sz="0" w:space="0" w:color="auto"/>
        <w:left w:val="none" w:sz="0" w:space="0" w:color="auto"/>
        <w:bottom w:val="none" w:sz="0" w:space="0" w:color="auto"/>
        <w:right w:val="none" w:sz="0" w:space="0" w:color="auto"/>
      </w:divBdr>
      <w:divsChild>
        <w:div w:id="998268705">
          <w:marLeft w:val="1454"/>
          <w:marRight w:val="0"/>
          <w:marTop w:val="160"/>
          <w:marBottom w:val="0"/>
          <w:divBdr>
            <w:top w:val="none" w:sz="0" w:space="0" w:color="auto"/>
            <w:left w:val="none" w:sz="0" w:space="0" w:color="auto"/>
            <w:bottom w:val="none" w:sz="0" w:space="0" w:color="auto"/>
            <w:right w:val="none" w:sz="0" w:space="0" w:color="auto"/>
          </w:divBdr>
        </w:div>
        <w:div w:id="2145002166">
          <w:marLeft w:val="1454"/>
          <w:marRight w:val="0"/>
          <w:marTop w:val="160"/>
          <w:marBottom w:val="0"/>
          <w:divBdr>
            <w:top w:val="none" w:sz="0" w:space="0" w:color="auto"/>
            <w:left w:val="none" w:sz="0" w:space="0" w:color="auto"/>
            <w:bottom w:val="none" w:sz="0" w:space="0" w:color="auto"/>
            <w:right w:val="none" w:sz="0" w:space="0" w:color="auto"/>
          </w:divBdr>
        </w:div>
      </w:divsChild>
    </w:div>
    <w:div w:id="568154353">
      <w:bodyDiv w:val="1"/>
      <w:marLeft w:val="0"/>
      <w:marRight w:val="0"/>
      <w:marTop w:val="0"/>
      <w:marBottom w:val="0"/>
      <w:divBdr>
        <w:top w:val="none" w:sz="0" w:space="0" w:color="auto"/>
        <w:left w:val="none" w:sz="0" w:space="0" w:color="auto"/>
        <w:bottom w:val="none" w:sz="0" w:space="0" w:color="auto"/>
        <w:right w:val="none" w:sz="0" w:space="0" w:color="auto"/>
      </w:divBdr>
      <w:divsChild>
        <w:div w:id="942343157">
          <w:marLeft w:val="1123"/>
          <w:marRight w:val="0"/>
          <w:marTop w:val="60"/>
          <w:marBottom w:val="0"/>
          <w:divBdr>
            <w:top w:val="none" w:sz="0" w:space="0" w:color="auto"/>
            <w:left w:val="none" w:sz="0" w:space="0" w:color="auto"/>
            <w:bottom w:val="none" w:sz="0" w:space="0" w:color="auto"/>
            <w:right w:val="none" w:sz="0" w:space="0" w:color="auto"/>
          </w:divBdr>
        </w:div>
        <w:div w:id="1094669392">
          <w:marLeft w:val="1123"/>
          <w:marRight w:val="0"/>
          <w:marTop w:val="60"/>
          <w:marBottom w:val="0"/>
          <w:divBdr>
            <w:top w:val="none" w:sz="0" w:space="0" w:color="auto"/>
            <w:left w:val="none" w:sz="0" w:space="0" w:color="auto"/>
            <w:bottom w:val="none" w:sz="0" w:space="0" w:color="auto"/>
            <w:right w:val="none" w:sz="0" w:space="0" w:color="auto"/>
          </w:divBdr>
        </w:div>
      </w:divsChild>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0771279">
      <w:bodyDiv w:val="1"/>
      <w:marLeft w:val="0"/>
      <w:marRight w:val="0"/>
      <w:marTop w:val="0"/>
      <w:marBottom w:val="0"/>
      <w:divBdr>
        <w:top w:val="none" w:sz="0" w:space="0" w:color="auto"/>
        <w:left w:val="none" w:sz="0" w:space="0" w:color="auto"/>
        <w:bottom w:val="none" w:sz="0" w:space="0" w:color="auto"/>
        <w:right w:val="none" w:sz="0" w:space="0" w:color="auto"/>
      </w:divBdr>
      <w:divsChild>
        <w:div w:id="1509565029">
          <w:marLeft w:val="576"/>
          <w:marRight w:val="0"/>
          <w:marTop w:val="160"/>
          <w:marBottom w:val="0"/>
          <w:divBdr>
            <w:top w:val="none" w:sz="0" w:space="0" w:color="auto"/>
            <w:left w:val="none" w:sz="0" w:space="0" w:color="auto"/>
            <w:bottom w:val="none" w:sz="0" w:space="0" w:color="auto"/>
            <w:right w:val="none" w:sz="0" w:space="0" w:color="auto"/>
          </w:divBdr>
        </w:div>
        <w:div w:id="2090224312">
          <w:marLeft w:val="576"/>
          <w:marRight w:val="0"/>
          <w:marTop w:val="160"/>
          <w:marBottom w:val="0"/>
          <w:divBdr>
            <w:top w:val="none" w:sz="0" w:space="0" w:color="auto"/>
            <w:left w:val="none" w:sz="0" w:space="0" w:color="auto"/>
            <w:bottom w:val="none" w:sz="0" w:space="0" w:color="auto"/>
            <w:right w:val="none" w:sz="0" w:space="0" w:color="auto"/>
          </w:divBdr>
        </w:div>
      </w:divsChild>
    </w:div>
    <w:div w:id="591206473">
      <w:bodyDiv w:val="1"/>
      <w:marLeft w:val="0"/>
      <w:marRight w:val="0"/>
      <w:marTop w:val="0"/>
      <w:marBottom w:val="0"/>
      <w:divBdr>
        <w:top w:val="none" w:sz="0" w:space="0" w:color="auto"/>
        <w:left w:val="none" w:sz="0" w:space="0" w:color="auto"/>
        <w:bottom w:val="none" w:sz="0" w:space="0" w:color="auto"/>
        <w:right w:val="none" w:sz="0" w:space="0" w:color="auto"/>
      </w:divBdr>
      <w:divsChild>
        <w:div w:id="1420951896">
          <w:marLeft w:val="547"/>
          <w:marRight w:val="0"/>
          <w:marTop w:val="60"/>
          <w:marBottom w:val="0"/>
          <w:divBdr>
            <w:top w:val="none" w:sz="0" w:space="0" w:color="auto"/>
            <w:left w:val="none" w:sz="0" w:space="0" w:color="auto"/>
            <w:bottom w:val="none" w:sz="0" w:space="0" w:color="auto"/>
            <w:right w:val="none" w:sz="0" w:space="0" w:color="auto"/>
          </w:divBdr>
        </w:div>
      </w:divsChild>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13514400">
      <w:bodyDiv w:val="1"/>
      <w:marLeft w:val="0"/>
      <w:marRight w:val="0"/>
      <w:marTop w:val="0"/>
      <w:marBottom w:val="0"/>
      <w:divBdr>
        <w:top w:val="none" w:sz="0" w:space="0" w:color="auto"/>
        <w:left w:val="none" w:sz="0" w:space="0" w:color="auto"/>
        <w:bottom w:val="none" w:sz="0" w:space="0" w:color="auto"/>
        <w:right w:val="none" w:sz="0" w:space="0" w:color="auto"/>
      </w:divBdr>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679627970">
      <w:bodyDiv w:val="1"/>
      <w:marLeft w:val="0"/>
      <w:marRight w:val="0"/>
      <w:marTop w:val="0"/>
      <w:marBottom w:val="0"/>
      <w:divBdr>
        <w:top w:val="none" w:sz="0" w:space="0" w:color="auto"/>
        <w:left w:val="none" w:sz="0" w:space="0" w:color="auto"/>
        <w:bottom w:val="none" w:sz="0" w:space="0" w:color="auto"/>
        <w:right w:val="none" w:sz="0" w:space="0" w:color="auto"/>
      </w:divBdr>
      <w:divsChild>
        <w:div w:id="276836645">
          <w:marLeft w:val="1166"/>
          <w:marRight w:val="0"/>
          <w:marTop w:val="96"/>
          <w:marBottom w:val="0"/>
          <w:divBdr>
            <w:top w:val="none" w:sz="0" w:space="0" w:color="auto"/>
            <w:left w:val="none" w:sz="0" w:space="0" w:color="auto"/>
            <w:bottom w:val="none" w:sz="0" w:space="0" w:color="auto"/>
            <w:right w:val="none" w:sz="0" w:space="0" w:color="auto"/>
          </w:divBdr>
        </w:div>
        <w:div w:id="333606423">
          <w:marLeft w:val="1627"/>
          <w:marRight w:val="0"/>
          <w:marTop w:val="0"/>
          <w:marBottom w:val="0"/>
          <w:divBdr>
            <w:top w:val="none" w:sz="0" w:space="0" w:color="auto"/>
            <w:left w:val="none" w:sz="0" w:space="0" w:color="auto"/>
            <w:bottom w:val="none" w:sz="0" w:space="0" w:color="auto"/>
            <w:right w:val="none" w:sz="0" w:space="0" w:color="auto"/>
          </w:divBdr>
        </w:div>
        <w:div w:id="418791048">
          <w:marLeft w:val="1627"/>
          <w:marRight w:val="0"/>
          <w:marTop w:val="0"/>
          <w:marBottom w:val="0"/>
          <w:divBdr>
            <w:top w:val="none" w:sz="0" w:space="0" w:color="auto"/>
            <w:left w:val="none" w:sz="0" w:space="0" w:color="auto"/>
            <w:bottom w:val="none" w:sz="0" w:space="0" w:color="auto"/>
            <w:right w:val="none" w:sz="0" w:space="0" w:color="auto"/>
          </w:divBdr>
        </w:div>
        <w:div w:id="450435738">
          <w:marLeft w:val="2707"/>
          <w:marRight w:val="0"/>
          <w:marTop w:val="0"/>
          <w:marBottom w:val="0"/>
          <w:divBdr>
            <w:top w:val="none" w:sz="0" w:space="0" w:color="auto"/>
            <w:left w:val="none" w:sz="0" w:space="0" w:color="auto"/>
            <w:bottom w:val="none" w:sz="0" w:space="0" w:color="auto"/>
            <w:right w:val="none" w:sz="0" w:space="0" w:color="auto"/>
          </w:divBdr>
        </w:div>
        <w:div w:id="884222542">
          <w:marLeft w:val="1627"/>
          <w:marRight w:val="0"/>
          <w:marTop w:val="0"/>
          <w:marBottom w:val="160"/>
          <w:divBdr>
            <w:top w:val="none" w:sz="0" w:space="0" w:color="auto"/>
            <w:left w:val="none" w:sz="0" w:space="0" w:color="auto"/>
            <w:bottom w:val="none" w:sz="0" w:space="0" w:color="auto"/>
            <w:right w:val="none" w:sz="0" w:space="0" w:color="auto"/>
          </w:divBdr>
        </w:div>
        <w:div w:id="935400341">
          <w:marLeft w:val="1627"/>
          <w:marRight w:val="0"/>
          <w:marTop w:val="0"/>
          <w:marBottom w:val="0"/>
          <w:divBdr>
            <w:top w:val="none" w:sz="0" w:space="0" w:color="auto"/>
            <w:left w:val="none" w:sz="0" w:space="0" w:color="auto"/>
            <w:bottom w:val="none" w:sz="0" w:space="0" w:color="auto"/>
            <w:right w:val="none" w:sz="0" w:space="0" w:color="auto"/>
          </w:divBdr>
        </w:div>
        <w:div w:id="1154029635">
          <w:marLeft w:val="2707"/>
          <w:marRight w:val="0"/>
          <w:marTop w:val="0"/>
          <w:marBottom w:val="0"/>
          <w:divBdr>
            <w:top w:val="none" w:sz="0" w:space="0" w:color="auto"/>
            <w:left w:val="none" w:sz="0" w:space="0" w:color="auto"/>
            <w:bottom w:val="none" w:sz="0" w:space="0" w:color="auto"/>
            <w:right w:val="none" w:sz="0" w:space="0" w:color="auto"/>
          </w:divBdr>
        </w:div>
        <w:div w:id="1301380417">
          <w:marLeft w:val="2707"/>
          <w:marRight w:val="0"/>
          <w:marTop w:val="0"/>
          <w:marBottom w:val="0"/>
          <w:divBdr>
            <w:top w:val="none" w:sz="0" w:space="0" w:color="auto"/>
            <w:left w:val="none" w:sz="0" w:space="0" w:color="auto"/>
            <w:bottom w:val="none" w:sz="0" w:space="0" w:color="auto"/>
            <w:right w:val="none" w:sz="0" w:space="0" w:color="auto"/>
          </w:divBdr>
        </w:div>
        <w:div w:id="1459761262">
          <w:marLeft w:val="2074"/>
          <w:marRight w:val="0"/>
          <w:marTop w:val="0"/>
          <w:marBottom w:val="0"/>
          <w:divBdr>
            <w:top w:val="none" w:sz="0" w:space="0" w:color="auto"/>
            <w:left w:val="none" w:sz="0" w:space="0" w:color="auto"/>
            <w:bottom w:val="none" w:sz="0" w:space="0" w:color="auto"/>
            <w:right w:val="none" w:sz="0" w:space="0" w:color="auto"/>
          </w:divBdr>
        </w:div>
        <w:div w:id="1916548461">
          <w:marLeft w:val="2074"/>
          <w:marRight w:val="0"/>
          <w:marTop w:val="0"/>
          <w:marBottom w:val="0"/>
          <w:divBdr>
            <w:top w:val="none" w:sz="0" w:space="0" w:color="auto"/>
            <w:left w:val="none" w:sz="0" w:space="0" w:color="auto"/>
            <w:bottom w:val="none" w:sz="0" w:space="0" w:color="auto"/>
            <w:right w:val="none" w:sz="0" w:space="0" w:color="auto"/>
          </w:divBdr>
        </w:div>
      </w:divsChild>
    </w:div>
    <w:div w:id="718284693">
      <w:bodyDiv w:val="1"/>
      <w:marLeft w:val="0"/>
      <w:marRight w:val="0"/>
      <w:marTop w:val="0"/>
      <w:marBottom w:val="0"/>
      <w:divBdr>
        <w:top w:val="none" w:sz="0" w:space="0" w:color="auto"/>
        <w:left w:val="none" w:sz="0" w:space="0" w:color="auto"/>
        <w:bottom w:val="none" w:sz="0" w:space="0" w:color="auto"/>
        <w:right w:val="none" w:sz="0" w:space="0" w:color="auto"/>
      </w:divBdr>
      <w:divsChild>
        <w:div w:id="2023583816">
          <w:marLeft w:val="576"/>
          <w:marRight w:val="0"/>
          <w:marTop w:val="160"/>
          <w:marBottom w:val="0"/>
          <w:divBdr>
            <w:top w:val="none" w:sz="0" w:space="0" w:color="auto"/>
            <w:left w:val="none" w:sz="0" w:space="0" w:color="auto"/>
            <w:bottom w:val="none" w:sz="0" w:space="0" w:color="auto"/>
            <w:right w:val="none" w:sz="0" w:space="0" w:color="auto"/>
          </w:divBdr>
        </w:div>
      </w:divsChild>
    </w:div>
    <w:div w:id="746221153">
      <w:bodyDiv w:val="1"/>
      <w:marLeft w:val="0"/>
      <w:marRight w:val="0"/>
      <w:marTop w:val="0"/>
      <w:marBottom w:val="0"/>
      <w:divBdr>
        <w:top w:val="none" w:sz="0" w:space="0" w:color="auto"/>
        <w:left w:val="none" w:sz="0" w:space="0" w:color="auto"/>
        <w:bottom w:val="none" w:sz="0" w:space="0" w:color="auto"/>
        <w:right w:val="none" w:sz="0" w:space="0" w:color="auto"/>
      </w:divBdr>
      <w:divsChild>
        <w:div w:id="75134625">
          <w:marLeft w:val="576"/>
          <w:marRight w:val="0"/>
          <w:marTop w:val="160"/>
          <w:marBottom w:val="0"/>
          <w:divBdr>
            <w:top w:val="none" w:sz="0" w:space="0" w:color="auto"/>
            <w:left w:val="none" w:sz="0" w:space="0" w:color="auto"/>
            <w:bottom w:val="none" w:sz="0" w:space="0" w:color="auto"/>
            <w:right w:val="none" w:sz="0" w:space="0" w:color="auto"/>
          </w:divBdr>
        </w:div>
        <w:div w:id="1521090705">
          <w:marLeft w:val="576"/>
          <w:marRight w:val="0"/>
          <w:marTop w:val="160"/>
          <w:marBottom w:val="0"/>
          <w:divBdr>
            <w:top w:val="none" w:sz="0" w:space="0" w:color="auto"/>
            <w:left w:val="none" w:sz="0" w:space="0" w:color="auto"/>
            <w:bottom w:val="none" w:sz="0" w:space="0" w:color="auto"/>
            <w:right w:val="none" w:sz="0" w:space="0" w:color="auto"/>
          </w:divBdr>
        </w:div>
        <w:div w:id="1983579846">
          <w:marLeft w:val="576"/>
          <w:marRight w:val="0"/>
          <w:marTop w:val="160"/>
          <w:marBottom w:val="0"/>
          <w:divBdr>
            <w:top w:val="none" w:sz="0" w:space="0" w:color="auto"/>
            <w:left w:val="none" w:sz="0" w:space="0" w:color="auto"/>
            <w:bottom w:val="none" w:sz="0" w:space="0" w:color="auto"/>
            <w:right w:val="none" w:sz="0" w:space="0" w:color="auto"/>
          </w:divBdr>
        </w:div>
      </w:divsChild>
    </w:div>
    <w:div w:id="774057563">
      <w:bodyDiv w:val="1"/>
      <w:marLeft w:val="0"/>
      <w:marRight w:val="0"/>
      <w:marTop w:val="0"/>
      <w:marBottom w:val="0"/>
      <w:divBdr>
        <w:top w:val="none" w:sz="0" w:space="0" w:color="auto"/>
        <w:left w:val="none" w:sz="0" w:space="0" w:color="auto"/>
        <w:bottom w:val="none" w:sz="0" w:space="0" w:color="auto"/>
        <w:right w:val="none" w:sz="0" w:space="0" w:color="auto"/>
      </w:divBdr>
    </w:div>
    <w:div w:id="795873763">
      <w:bodyDiv w:val="1"/>
      <w:marLeft w:val="0"/>
      <w:marRight w:val="0"/>
      <w:marTop w:val="0"/>
      <w:marBottom w:val="0"/>
      <w:divBdr>
        <w:top w:val="none" w:sz="0" w:space="0" w:color="auto"/>
        <w:left w:val="none" w:sz="0" w:space="0" w:color="auto"/>
        <w:bottom w:val="none" w:sz="0" w:space="0" w:color="auto"/>
        <w:right w:val="none" w:sz="0" w:space="0" w:color="auto"/>
      </w:divBdr>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899247708">
      <w:bodyDiv w:val="1"/>
      <w:marLeft w:val="0"/>
      <w:marRight w:val="0"/>
      <w:marTop w:val="0"/>
      <w:marBottom w:val="0"/>
      <w:divBdr>
        <w:top w:val="none" w:sz="0" w:space="0" w:color="auto"/>
        <w:left w:val="none" w:sz="0" w:space="0" w:color="auto"/>
        <w:bottom w:val="none" w:sz="0" w:space="0" w:color="auto"/>
        <w:right w:val="none" w:sz="0" w:space="0" w:color="auto"/>
      </w:divBdr>
      <w:divsChild>
        <w:div w:id="218983536">
          <w:marLeft w:val="547"/>
          <w:marRight w:val="0"/>
          <w:marTop w:val="160"/>
          <w:marBottom w:val="0"/>
          <w:divBdr>
            <w:top w:val="none" w:sz="0" w:space="0" w:color="auto"/>
            <w:left w:val="none" w:sz="0" w:space="0" w:color="auto"/>
            <w:bottom w:val="none" w:sz="0" w:space="0" w:color="auto"/>
            <w:right w:val="none" w:sz="0" w:space="0" w:color="auto"/>
          </w:divBdr>
        </w:div>
      </w:divsChild>
    </w:div>
    <w:div w:id="941913545">
      <w:bodyDiv w:val="1"/>
      <w:marLeft w:val="0"/>
      <w:marRight w:val="0"/>
      <w:marTop w:val="0"/>
      <w:marBottom w:val="0"/>
      <w:divBdr>
        <w:top w:val="none" w:sz="0" w:space="0" w:color="auto"/>
        <w:left w:val="none" w:sz="0" w:space="0" w:color="auto"/>
        <w:bottom w:val="none" w:sz="0" w:space="0" w:color="auto"/>
        <w:right w:val="none" w:sz="0" w:space="0" w:color="auto"/>
      </w:divBdr>
      <w:divsChild>
        <w:div w:id="259221666">
          <w:marLeft w:val="850"/>
          <w:marRight w:val="0"/>
          <w:marTop w:val="160"/>
          <w:marBottom w:val="0"/>
          <w:divBdr>
            <w:top w:val="none" w:sz="0" w:space="0" w:color="auto"/>
            <w:left w:val="none" w:sz="0" w:space="0" w:color="auto"/>
            <w:bottom w:val="none" w:sz="0" w:space="0" w:color="auto"/>
            <w:right w:val="none" w:sz="0" w:space="0" w:color="auto"/>
          </w:divBdr>
        </w:div>
        <w:div w:id="1261915471">
          <w:marLeft w:val="576"/>
          <w:marRight w:val="0"/>
          <w:marTop w:val="160"/>
          <w:marBottom w:val="0"/>
          <w:divBdr>
            <w:top w:val="none" w:sz="0" w:space="0" w:color="auto"/>
            <w:left w:val="none" w:sz="0" w:space="0" w:color="auto"/>
            <w:bottom w:val="none" w:sz="0" w:space="0" w:color="auto"/>
            <w:right w:val="none" w:sz="0" w:space="0" w:color="auto"/>
          </w:divBdr>
        </w:div>
        <w:div w:id="1425490500">
          <w:marLeft w:val="850"/>
          <w:marRight w:val="0"/>
          <w:marTop w:val="160"/>
          <w:marBottom w:val="0"/>
          <w:divBdr>
            <w:top w:val="none" w:sz="0" w:space="0" w:color="auto"/>
            <w:left w:val="none" w:sz="0" w:space="0" w:color="auto"/>
            <w:bottom w:val="none" w:sz="0" w:space="0" w:color="auto"/>
            <w:right w:val="none" w:sz="0" w:space="0" w:color="auto"/>
          </w:divBdr>
        </w:div>
        <w:div w:id="1972665979">
          <w:marLeft w:val="850"/>
          <w:marRight w:val="0"/>
          <w:marTop w:val="160"/>
          <w:marBottom w:val="0"/>
          <w:divBdr>
            <w:top w:val="none" w:sz="0" w:space="0" w:color="auto"/>
            <w:left w:val="none" w:sz="0" w:space="0" w:color="auto"/>
            <w:bottom w:val="none" w:sz="0" w:space="0" w:color="auto"/>
            <w:right w:val="none" w:sz="0" w:space="0" w:color="auto"/>
          </w:divBdr>
        </w:div>
        <w:div w:id="2034770379">
          <w:marLeft w:val="850"/>
          <w:marRight w:val="0"/>
          <w:marTop w:val="160"/>
          <w:marBottom w:val="0"/>
          <w:divBdr>
            <w:top w:val="none" w:sz="0" w:space="0" w:color="auto"/>
            <w:left w:val="none" w:sz="0" w:space="0" w:color="auto"/>
            <w:bottom w:val="none" w:sz="0" w:space="0" w:color="auto"/>
            <w:right w:val="none" w:sz="0" w:space="0" w:color="auto"/>
          </w:divBdr>
        </w:div>
      </w:divsChild>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118404475">
      <w:bodyDiv w:val="1"/>
      <w:marLeft w:val="0"/>
      <w:marRight w:val="0"/>
      <w:marTop w:val="0"/>
      <w:marBottom w:val="0"/>
      <w:divBdr>
        <w:top w:val="none" w:sz="0" w:space="0" w:color="auto"/>
        <w:left w:val="none" w:sz="0" w:space="0" w:color="auto"/>
        <w:bottom w:val="none" w:sz="0" w:space="0" w:color="auto"/>
        <w:right w:val="none" w:sz="0" w:space="0" w:color="auto"/>
      </w:divBdr>
      <w:divsChild>
        <w:div w:id="76362837">
          <w:marLeft w:val="576"/>
          <w:marRight w:val="0"/>
          <w:marTop w:val="160"/>
          <w:marBottom w:val="0"/>
          <w:divBdr>
            <w:top w:val="none" w:sz="0" w:space="0" w:color="auto"/>
            <w:left w:val="none" w:sz="0" w:space="0" w:color="auto"/>
            <w:bottom w:val="none" w:sz="0" w:space="0" w:color="auto"/>
            <w:right w:val="none" w:sz="0" w:space="0" w:color="auto"/>
          </w:divBdr>
        </w:div>
        <w:div w:id="2092920661">
          <w:marLeft w:val="850"/>
          <w:marRight w:val="0"/>
          <w:marTop w:val="160"/>
          <w:marBottom w:val="0"/>
          <w:divBdr>
            <w:top w:val="none" w:sz="0" w:space="0" w:color="auto"/>
            <w:left w:val="none" w:sz="0" w:space="0" w:color="auto"/>
            <w:bottom w:val="none" w:sz="0" w:space="0" w:color="auto"/>
            <w:right w:val="none" w:sz="0" w:space="0" w:color="auto"/>
          </w:divBdr>
        </w:div>
      </w:divsChild>
    </w:div>
    <w:div w:id="1173449363">
      <w:bodyDiv w:val="1"/>
      <w:marLeft w:val="0"/>
      <w:marRight w:val="0"/>
      <w:marTop w:val="0"/>
      <w:marBottom w:val="0"/>
      <w:divBdr>
        <w:top w:val="none" w:sz="0" w:space="0" w:color="auto"/>
        <w:left w:val="none" w:sz="0" w:space="0" w:color="auto"/>
        <w:bottom w:val="none" w:sz="0" w:space="0" w:color="auto"/>
        <w:right w:val="none" w:sz="0" w:space="0" w:color="auto"/>
      </w:divBdr>
      <w:divsChild>
        <w:div w:id="1349525745">
          <w:marLeft w:val="288"/>
          <w:marRight w:val="0"/>
          <w:marTop w:val="160"/>
          <w:marBottom w:val="0"/>
          <w:divBdr>
            <w:top w:val="none" w:sz="0" w:space="0" w:color="auto"/>
            <w:left w:val="none" w:sz="0" w:space="0" w:color="auto"/>
            <w:bottom w:val="none" w:sz="0" w:space="0" w:color="auto"/>
            <w:right w:val="none" w:sz="0" w:space="0" w:color="auto"/>
          </w:divBdr>
        </w:div>
      </w:divsChild>
    </w:div>
    <w:div w:id="1201087818">
      <w:bodyDiv w:val="1"/>
      <w:marLeft w:val="0"/>
      <w:marRight w:val="0"/>
      <w:marTop w:val="0"/>
      <w:marBottom w:val="0"/>
      <w:divBdr>
        <w:top w:val="none" w:sz="0" w:space="0" w:color="auto"/>
        <w:left w:val="none" w:sz="0" w:space="0" w:color="auto"/>
        <w:bottom w:val="none" w:sz="0" w:space="0" w:color="auto"/>
        <w:right w:val="none" w:sz="0" w:space="0" w:color="auto"/>
      </w:divBdr>
    </w:div>
    <w:div w:id="1222912233">
      <w:bodyDiv w:val="1"/>
      <w:marLeft w:val="0"/>
      <w:marRight w:val="0"/>
      <w:marTop w:val="0"/>
      <w:marBottom w:val="0"/>
      <w:divBdr>
        <w:top w:val="none" w:sz="0" w:space="0" w:color="auto"/>
        <w:left w:val="none" w:sz="0" w:space="0" w:color="auto"/>
        <w:bottom w:val="none" w:sz="0" w:space="0" w:color="auto"/>
        <w:right w:val="none" w:sz="0" w:space="0" w:color="auto"/>
      </w:divBdr>
      <w:divsChild>
        <w:div w:id="1393118272">
          <w:marLeft w:val="1123"/>
          <w:marRight w:val="0"/>
          <w:marTop w:val="60"/>
          <w:marBottom w:val="0"/>
          <w:divBdr>
            <w:top w:val="none" w:sz="0" w:space="0" w:color="auto"/>
            <w:left w:val="none" w:sz="0" w:space="0" w:color="auto"/>
            <w:bottom w:val="none" w:sz="0" w:space="0" w:color="auto"/>
            <w:right w:val="none" w:sz="0" w:space="0" w:color="auto"/>
          </w:divBdr>
        </w:div>
      </w:divsChild>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258752996">
      <w:bodyDiv w:val="1"/>
      <w:marLeft w:val="0"/>
      <w:marRight w:val="0"/>
      <w:marTop w:val="0"/>
      <w:marBottom w:val="0"/>
      <w:divBdr>
        <w:top w:val="none" w:sz="0" w:space="0" w:color="auto"/>
        <w:left w:val="none" w:sz="0" w:space="0" w:color="auto"/>
        <w:bottom w:val="none" w:sz="0" w:space="0" w:color="auto"/>
        <w:right w:val="none" w:sz="0" w:space="0" w:color="auto"/>
      </w:divBdr>
      <w:divsChild>
        <w:div w:id="376248432">
          <w:marLeft w:val="547"/>
          <w:marRight w:val="0"/>
          <w:marTop w:val="0"/>
          <w:marBottom w:val="0"/>
          <w:divBdr>
            <w:top w:val="none" w:sz="0" w:space="0" w:color="auto"/>
            <w:left w:val="none" w:sz="0" w:space="0" w:color="auto"/>
            <w:bottom w:val="none" w:sz="0" w:space="0" w:color="auto"/>
            <w:right w:val="none" w:sz="0" w:space="0" w:color="auto"/>
          </w:divBdr>
        </w:div>
        <w:div w:id="1366908206">
          <w:marLeft w:val="547"/>
          <w:marRight w:val="0"/>
          <w:marTop w:val="0"/>
          <w:marBottom w:val="0"/>
          <w:divBdr>
            <w:top w:val="none" w:sz="0" w:space="0" w:color="auto"/>
            <w:left w:val="none" w:sz="0" w:space="0" w:color="auto"/>
            <w:bottom w:val="none" w:sz="0" w:space="0" w:color="auto"/>
            <w:right w:val="none" w:sz="0" w:space="0" w:color="auto"/>
          </w:divBdr>
        </w:div>
      </w:divsChild>
    </w:div>
    <w:div w:id="1271356930">
      <w:bodyDiv w:val="1"/>
      <w:marLeft w:val="0"/>
      <w:marRight w:val="0"/>
      <w:marTop w:val="0"/>
      <w:marBottom w:val="0"/>
      <w:divBdr>
        <w:top w:val="none" w:sz="0" w:space="0" w:color="auto"/>
        <w:left w:val="none" w:sz="0" w:space="0" w:color="auto"/>
        <w:bottom w:val="none" w:sz="0" w:space="0" w:color="auto"/>
        <w:right w:val="none" w:sz="0" w:space="0" w:color="auto"/>
      </w:divBdr>
      <w:divsChild>
        <w:div w:id="1066100250">
          <w:marLeft w:val="878"/>
          <w:marRight w:val="0"/>
          <w:marTop w:val="160"/>
          <w:marBottom w:val="0"/>
          <w:divBdr>
            <w:top w:val="none" w:sz="0" w:space="0" w:color="auto"/>
            <w:left w:val="none" w:sz="0" w:space="0" w:color="auto"/>
            <w:bottom w:val="none" w:sz="0" w:space="0" w:color="auto"/>
            <w:right w:val="none" w:sz="0" w:space="0" w:color="auto"/>
          </w:divBdr>
        </w:div>
        <w:div w:id="1175806481">
          <w:marLeft w:val="878"/>
          <w:marRight w:val="0"/>
          <w:marTop w:val="160"/>
          <w:marBottom w:val="180"/>
          <w:divBdr>
            <w:top w:val="none" w:sz="0" w:space="0" w:color="auto"/>
            <w:left w:val="none" w:sz="0" w:space="0" w:color="auto"/>
            <w:bottom w:val="none" w:sz="0" w:space="0" w:color="auto"/>
            <w:right w:val="none" w:sz="0" w:space="0" w:color="auto"/>
          </w:divBdr>
        </w:div>
        <w:div w:id="1956905510">
          <w:marLeft w:val="1166"/>
          <w:marRight w:val="0"/>
          <w:marTop w:val="160"/>
          <w:marBottom w:val="0"/>
          <w:divBdr>
            <w:top w:val="none" w:sz="0" w:space="0" w:color="auto"/>
            <w:left w:val="none" w:sz="0" w:space="0" w:color="auto"/>
            <w:bottom w:val="none" w:sz="0" w:space="0" w:color="auto"/>
            <w:right w:val="none" w:sz="0" w:space="0" w:color="auto"/>
          </w:divBdr>
        </w:div>
      </w:divsChild>
    </w:div>
    <w:div w:id="1280990075">
      <w:bodyDiv w:val="1"/>
      <w:marLeft w:val="0"/>
      <w:marRight w:val="0"/>
      <w:marTop w:val="0"/>
      <w:marBottom w:val="0"/>
      <w:divBdr>
        <w:top w:val="none" w:sz="0" w:space="0" w:color="auto"/>
        <w:left w:val="none" w:sz="0" w:space="0" w:color="auto"/>
        <w:bottom w:val="none" w:sz="0" w:space="0" w:color="auto"/>
        <w:right w:val="none" w:sz="0" w:space="0" w:color="auto"/>
      </w:divBdr>
    </w:div>
    <w:div w:id="1287351927">
      <w:bodyDiv w:val="1"/>
      <w:marLeft w:val="0"/>
      <w:marRight w:val="0"/>
      <w:marTop w:val="0"/>
      <w:marBottom w:val="0"/>
      <w:divBdr>
        <w:top w:val="none" w:sz="0" w:space="0" w:color="auto"/>
        <w:left w:val="none" w:sz="0" w:space="0" w:color="auto"/>
        <w:bottom w:val="none" w:sz="0" w:space="0" w:color="auto"/>
        <w:right w:val="none" w:sz="0" w:space="0" w:color="auto"/>
      </w:divBdr>
      <w:divsChild>
        <w:div w:id="1262687172">
          <w:marLeft w:val="576"/>
          <w:marRight w:val="0"/>
          <w:marTop w:val="160"/>
          <w:marBottom w:val="0"/>
          <w:divBdr>
            <w:top w:val="none" w:sz="0" w:space="0" w:color="auto"/>
            <w:left w:val="none" w:sz="0" w:space="0" w:color="auto"/>
            <w:bottom w:val="none" w:sz="0" w:space="0" w:color="auto"/>
            <w:right w:val="none" w:sz="0" w:space="0" w:color="auto"/>
          </w:divBdr>
        </w:div>
      </w:divsChild>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08052634">
      <w:bodyDiv w:val="1"/>
      <w:marLeft w:val="0"/>
      <w:marRight w:val="0"/>
      <w:marTop w:val="0"/>
      <w:marBottom w:val="0"/>
      <w:divBdr>
        <w:top w:val="none" w:sz="0" w:space="0" w:color="auto"/>
        <w:left w:val="none" w:sz="0" w:space="0" w:color="auto"/>
        <w:bottom w:val="none" w:sz="0" w:space="0" w:color="auto"/>
        <w:right w:val="none" w:sz="0" w:space="0" w:color="auto"/>
      </w:divBdr>
      <w:divsChild>
        <w:div w:id="122577165">
          <w:marLeft w:val="1166"/>
          <w:marRight w:val="0"/>
          <w:marTop w:val="160"/>
          <w:marBottom w:val="0"/>
          <w:divBdr>
            <w:top w:val="none" w:sz="0" w:space="0" w:color="auto"/>
            <w:left w:val="none" w:sz="0" w:space="0" w:color="auto"/>
            <w:bottom w:val="none" w:sz="0" w:space="0" w:color="auto"/>
            <w:right w:val="none" w:sz="0" w:space="0" w:color="auto"/>
          </w:divBdr>
        </w:div>
      </w:divsChild>
    </w:div>
    <w:div w:id="1310355858">
      <w:bodyDiv w:val="1"/>
      <w:marLeft w:val="0"/>
      <w:marRight w:val="0"/>
      <w:marTop w:val="0"/>
      <w:marBottom w:val="0"/>
      <w:divBdr>
        <w:top w:val="none" w:sz="0" w:space="0" w:color="auto"/>
        <w:left w:val="none" w:sz="0" w:space="0" w:color="auto"/>
        <w:bottom w:val="none" w:sz="0" w:space="0" w:color="auto"/>
        <w:right w:val="none" w:sz="0" w:space="0" w:color="auto"/>
      </w:divBdr>
      <w:divsChild>
        <w:div w:id="555513846">
          <w:marLeft w:val="1138"/>
          <w:marRight w:val="0"/>
          <w:marTop w:val="160"/>
          <w:marBottom w:val="0"/>
          <w:divBdr>
            <w:top w:val="none" w:sz="0" w:space="0" w:color="auto"/>
            <w:left w:val="none" w:sz="0" w:space="0" w:color="auto"/>
            <w:bottom w:val="none" w:sz="0" w:space="0" w:color="auto"/>
            <w:right w:val="none" w:sz="0" w:space="0" w:color="auto"/>
          </w:divBdr>
        </w:div>
      </w:divsChild>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384403925">
      <w:bodyDiv w:val="1"/>
      <w:marLeft w:val="0"/>
      <w:marRight w:val="0"/>
      <w:marTop w:val="0"/>
      <w:marBottom w:val="0"/>
      <w:divBdr>
        <w:top w:val="none" w:sz="0" w:space="0" w:color="auto"/>
        <w:left w:val="none" w:sz="0" w:space="0" w:color="auto"/>
        <w:bottom w:val="none" w:sz="0" w:space="0" w:color="auto"/>
        <w:right w:val="none" w:sz="0" w:space="0" w:color="auto"/>
      </w:divBdr>
      <w:divsChild>
        <w:div w:id="311184028">
          <w:marLeft w:val="576"/>
          <w:marRight w:val="0"/>
          <w:marTop w:val="160"/>
          <w:marBottom w:val="0"/>
          <w:divBdr>
            <w:top w:val="none" w:sz="0" w:space="0" w:color="auto"/>
            <w:left w:val="none" w:sz="0" w:space="0" w:color="auto"/>
            <w:bottom w:val="none" w:sz="0" w:space="0" w:color="auto"/>
            <w:right w:val="none" w:sz="0" w:space="0" w:color="auto"/>
          </w:divBdr>
        </w:div>
        <w:div w:id="529683303">
          <w:marLeft w:val="288"/>
          <w:marRight w:val="0"/>
          <w:marTop w:val="160"/>
          <w:marBottom w:val="0"/>
          <w:divBdr>
            <w:top w:val="none" w:sz="0" w:space="0" w:color="auto"/>
            <w:left w:val="none" w:sz="0" w:space="0" w:color="auto"/>
            <w:bottom w:val="none" w:sz="0" w:space="0" w:color="auto"/>
            <w:right w:val="none" w:sz="0" w:space="0" w:color="auto"/>
          </w:divBdr>
        </w:div>
        <w:div w:id="640502830">
          <w:marLeft w:val="288"/>
          <w:marRight w:val="0"/>
          <w:marTop w:val="160"/>
          <w:marBottom w:val="0"/>
          <w:divBdr>
            <w:top w:val="none" w:sz="0" w:space="0" w:color="auto"/>
            <w:left w:val="none" w:sz="0" w:space="0" w:color="auto"/>
            <w:bottom w:val="none" w:sz="0" w:space="0" w:color="auto"/>
            <w:right w:val="none" w:sz="0" w:space="0" w:color="auto"/>
          </w:divBdr>
        </w:div>
        <w:div w:id="765347181">
          <w:marLeft w:val="1138"/>
          <w:marRight w:val="0"/>
          <w:marTop w:val="160"/>
          <w:marBottom w:val="0"/>
          <w:divBdr>
            <w:top w:val="none" w:sz="0" w:space="0" w:color="auto"/>
            <w:left w:val="none" w:sz="0" w:space="0" w:color="auto"/>
            <w:bottom w:val="none" w:sz="0" w:space="0" w:color="auto"/>
            <w:right w:val="none" w:sz="0" w:space="0" w:color="auto"/>
          </w:divBdr>
        </w:div>
        <w:div w:id="871379651">
          <w:marLeft w:val="850"/>
          <w:marRight w:val="0"/>
          <w:marTop w:val="160"/>
          <w:marBottom w:val="0"/>
          <w:divBdr>
            <w:top w:val="none" w:sz="0" w:space="0" w:color="auto"/>
            <w:left w:val="none" w:sz="0" w:space="0" w:color="auto"/>
            <w:bottom w:val="none" w:sz="0" w:space="0" w:color="auto"/>
            <w:right w:val="none" w:sz="0" w:space="0" w:color="auto"/>
          </w:divBdr>
        </w:div>
        <w:div w:id="950629581">
          <w:marLeft w:val="288"/>
          <w:marRight w:val="0"/>
          <w:marTop w:val="160"/>
          <w:marBottom w:val="0"/>
          <w:divBdr>
            <w:top w:val="none" w:sz="0" w:space="0" w:color="auto"/>
            <w:left w:val="none" w:sz="0" w:space="0" w:color="auto"/>
            <w:bottom w:val="none" w:sz="0" w:space="0" w:color="auto"/>
            <w:right w:val="none" w:sz="0" w:space="0" w:color="auto"/>
          </w:divBdr>
        </w:div>
        <w:div w:id="1141582127">
          <w:marLeft w:val="850"/>
          <w:marRight w:val="0"/>
          <w:marTop w:val="160"/>
          <w:marBottom w:val="0"/>
          <w:divBdr>
            <w:top w:val="none" w:sz="0" w:space="0" w:color="auto"/>
            <w:left w:val="none" w:sz="0" w:space="0" w:color="auto"/>
            <w:bottom w:val="none" w:sz="0" w:space="0" w:color="auto"/>
            <w:right w:val="none" w:sz="0" w:space="0" w:color="auto"/>
          </w:divBdr>
        </w:div>
        <w:div w:id="1514879297">
          <w:marLeft w:val="576"/>
          <w:marRight w:val="0"/>
          <w:marTop w:val="160"/>
          <w:marBottom w:val="0"/>
          <w:divBdr>
            <w:top w:val="none" w:sz="0" w:space="0" w:color="auto"/>
            <w:left w:val="none" w:sz="0" w:space="0" w:color="auto"/>
            <w:bottom w:val="none" w:sz="0" w:space="0" w:color="auto"/>
            <w:right w:val="none" w:sz="0" w:space="0" w:color="auto"/>
          </w:divBdr>
        </w:div>
        <w:div w:id="1548494316">
          <w:marLeft w:val="850"/>
          <w:marRight w:val="0"/>
          <w:marTop w:val="160"/>
          <w:marBottom w:val="0"/>
          <w:divBdr>
            <w:top w:val="none" w:sz="0" w:space="0" w:color="auto"/>
            <w:left w:val="none" w:sz="0" w:space="0" w:color="auto"/>
            <w:bottom w:val="none" w:sz="0" w:space="0" w:color="auto"/>
            <w:right w:val="none" w:sz="0" w:space="0" w:color="auto"/>
          </w:divBdr>
        </w:div>
        <w:div w:id="1658412324">
          <w:marLeft w:val="576"/>
          <w:marRight w:val="0"/>
          <w:marTop w:val="160"/>
          <w:marBottom w:val="0"/>
          <w:divBdr>
            <w:top w:val="none" w:sz="0" w:space="0" w:color="auto"/>
            <w:left w:val="none" w:sz="0" w:space="0" w:color="auto"/>
            <w:bottom w:val="none" w:sz="0" w:space="0" w:color="auto"/>
            <w:right w:val="none" w:sz="0" w:space="0" w:color="auto"/>
          </w:divBdr>
        </w:div>
        <w:div w:id="2000114263">
          <w:marLeft w:val="576"/>
          <w:marRight w:val="0"/>
          <w:marTop w:val="160"/>
          <w:marBottom w:val="0"/>
          <w:divBdr>
            <w:top w:val="none" w:sz="0" w:space="0" w:color="auto"/>
            <w:left w:val="none" w:sz="0" w:space="0" w:color="auto"/>
            <w:bottom w:val="none" w:sz="0" w:space="0" w:color="auto"/>
            <w:right w:val="none" w:sz="0" w:space="0" w:color="auto"/>
          </w:divBdr>
        </w:div>
        <w:div w:id="2120953899">
          <w:marLeft w:val="576"/>
          <w:marRight w:val="0"/>
          <w:marTop w:val="160"/>
          <w:marBottom w:val="0"/>
          <w:divBdr>
            <w:top w:val="none" w:sz="0" w:space="0" w:color="auto"/>
            <w:left w:val="none" w:sz="0" w:space="0" w:color="auto"/>
            <w:bottom w:val="none" w:sz="0" w:space="0" w:color="auto"/>
            <w:right w:val="none" w:sz="0" w:space="0" w:color="auto"/>
          </w:divBdr>
        </w:div>
      </w:divsChild>
    </w:div>
    <w:div w:id="1387341628">
      <w:bodyDiv w:val="1"/>
      <w:marLeft w:val="0"/>
      <w:marRight w:val="0"/>
      <w:marTop w:val="0"/>
      <w:marBottom w:val="0"/>
      <w:divBdr>
        <w:top w:val="none" w:sz="0" w:space="0" w:color="auto"/>
        <w:left w:val="none" w:sz="0" w:space="0" w:color="auto"/>
        <w:bottom w:val="none" w:sz="0" w:space="0" w:color="auto"/>
        <w:right w:val="none" w:sz="0" w:space="0" w:color="auto"/>
      </w:divBdr>
      <w:divsChild>
        <w:div w:id="1631472264">
          <w:marLeft w:val="576"/>
          <w:marRight w:val="0"/>
          <w:marTop w:val="160"/>
          <w:marBottom w:val="0"/>
          <w:divBdr>
            <w:top w:val="none" w:sz="0" w:space="0" w:color="auto"/>
            <w:left w:val="none" w:sz="0" w:space="0" w:color="auto"/>
            <w:bottom w:val="none" w:sz="0" w:space="0" w:color="auto"/>
            <w:right w:val="none" w:sz="0" w:space="0" w:color="auto"/>
          </w:divBdr>
        </w:div>
      </w:divsChild>
    </w:div>
    <w:div w:id="1401054403">
      <w:bodyDiv w:val="1"/>
      <w:marLeft w:val="0"/>
      <w:marRight w:val="0"/>
      <w:marTop w:val="0"/>
      <w:marBottom w:val="0"/>
      <w:divBdr>
        <w:top w:val="none" w:sz="0" w:space="0" w:color="auto"/>
        <w:left w:val="none" w:sz="0" w:space="0" w:color="auto"/>
        <w:bottom w:val="none" w:sz="0" w:space="0" w:color="auto"/>
        <w:right w:val="none" w:sz="0" w:space="0" w:color="auto"/>
      </w:divBdr>
    </w:div>
    <w:div w:id="1411467508">
      <w:bodyDiv w:val="1"/>
      <w:marLeft w:val="0"/>
      <w:marRight w:val="0"/>
      <w:marTop w:val="0"/>
      <w:marBottom w:val="0"/>
      <w:divBdr>
        <w:top w:val="none" w:sz="0" w:space="0" w:color="auto"/>
        <w:left w:val="none" w:sz="0" w:space="0" w:color="auto"/>
        <w:bottom w:val="none" w:sz="0" w:space="0" w:color="auto"/>
        <w:right w:val="none" w:sz="0" w:space="0" w:color="auto"/>
      </w:divBdr>
      <w:divsChild>
        <w:div w:id="1503659828">
          <w:marLeft w:val="878"/>
          <w:marRight w:val="0"/>
          <w:marTop w:val="160"/>
          <w:marBottom w:val="0"/>
          <w:divBdr>
            <w:top w:val="none" w:sz="0" w:space="0" w:color="auto"/>
            <w:left w:val="none" w:sz="0" w:space="0" w:color="auto"/>
            <w:bottom w:val="none" w:sz="0" w:space="0" w:color="auto"/>
            <w:right w:val="none" w:sz="0" w:space="0" w:color="auto"/>
          </w:divBdr>
        </w:div>
      </w:divsChild>
    </w:div>
    <w:div w:id="1483308191">
      <w:bodyDiv w:val="1"/>
      <w:marLeft w:val="0"/>
      <w:marRight w:val="0"/>
      <w:marTop w:val="0"/>
      <w:marBottom w:val="0"/>
      <w:divBdr>
        <w:top w:val="none" w:sz="0" w:space="0" w:color="auto"/>
        <w:left w:val="none" w:sz="0" w:space="0" w:color="auto"/>
        <w:bottom w:val="none" w:sz="0" w:space="0" w:color="auto"/>
        <w:right w:val="none" w:sz="0" w:space="0" w:color="auto"/>
      </w:divBdr>
      <w:divsChild>
        <w:div w:id="706832995">
          <w:marLeft w:val="576"/>
          <w:marRight w:val="0"/>
          <w:marTop w:val="160"/>
          <w:marBottom w:val="0"/>
          <w:divBdr>
            <w:top w:val="none" w:sz="0" w:space="0" w:color="auto"/>
            <w:left w:val="none" w:sz="0" w:space="0" w:color="auto"/>
            <w:bottom w:val="none" w:sz="0" w:space="0" w:color="auto"/>
            <w:right w:val="none" w:sz="0" w:space="0" w:color="auto"/>
          </w:divBdr>
        </w:div>
        <w:div w:id="1186093151">
          <w:marLeft w:val="576"/>
          <w:marRight w:val="0"/>
          <w:marTop w:val="160"/>
          <w:marBottom w:val="0"/>
          <w:divBdr>
            <w:top w:val="none" w:sz="0" w:space="0" w:color="auto"/>
            <w:left w:val="none" w:sz="0" w:space="0" w:color="auto"/>
            <w:bottom w:val="none" w:sz="0" w:space="0" w:color="auto"/>
            <w:right w:val="none" w:sz="0" w:space="0" w:color="auto"/>
          </w:divBdr>
        </w:div>
        <w:div w:id="1513253489">
          <w:marLeft w:val="288"/>
          <w:marRight w:val="0"/>
          <w:marTop w:val="160"/>
          <w:marBottom w:val="0"/>
          <w:divBdr>
            <w:top w:val="none" w:sz="0" w:space="0" w:color="auto"/>
            <w:left w:val="none" w:sz="0" w:space="0" w:color="auto"/>
            <w:bottom w:val="none" w:sz="0" w:space="0" w:color="auto"/>
            <w:right w:val="none" w:sz="0" w:space="0" w:color="auto"/>
          </w:divBdr>
        </w:div>
      </w:divsChild>
    </w:div>
    <w:div w:id="1493250582">
      <w:bodyDiv w:val="1"/>
      <w:marLeft w:val="0"/>
      <w:marRight w:val="0"/>
      <w:marTop w:val="0"/>
      <w:marBottom w:val="0"/>
      <w:divBdr>
        <w:top w:val="none" w:sz="0" w:space="0" w:color="auto"/>
        <w:left w:val="none" w:sz="0" w:space="0" w:color="auto"/>
        <w:bottom w:val="none" w:sz="0" w:space="0" w:color="auto"/>
        <w:right w:val="none" w:sz="0" w:space="0" w:color="auto"/>
      </w:divBdr>
    </w:div>
    <w:div w:id="1496989143">
      <w:bodyDiv w:val="1"/>
      <w:marLeft w:val="0"/>
      <w:marRight w:val="0"/>
      <w:marTop w:val="0"/>
      <w:marBottom w:val="0"/>
      <w:divBdr>
        <w:top w:val="none" w:sz="0" w:space="0" w:color="auto"/>
        <w:left w:val="none" w:sz="0" w:space="0" w:color="auto"/>
        <w:bottom w:val="none" w:sz="0" w:space="0" w:color="auto"/>
        <w:right w:val="none" w:sz="0" w:space="0" w:color="auto"/>
      </w:divBdr>
      <w:divsChild>
        <w:div w:id="267155350">
          <w:marLeft w:val="576"/>
          <w:marRight w:val="0"/>
          <w:marTop w:val="160"/>
          <w:marBottom w:val="0"/>
          <w:divBdr>
            <w:top w:val="none" w:sz="0" w:space="0" w:color="auto"/>
            <w:left w:val="none" w:sz="0" w:space="0" w:color="auto"/>
            <w:bottom w:val="none" w:sz="0" w:space="0" w:color="auto"/>
            <w:right w:val="none" w:sz="0" w:space="0" w:color="auto"/>
          </w:divBdr>
        </w:div>
        <w:div w:id="424811172">
          <w:marLeft w:val="576"/>
          <w:marRight w:val="0"/>
          <w:marTop w:val="160"/>
          <w:marBottom w:val="0"/>
          <w:divBdr>
            <w:top w:val="none" w:sz="0" w:space="0" w:color="auto"/>
            <w:left w:val="none" w:sz="0" w:space="0" w:color="auto"/>
            <w:bottom w:val="none" w:sz="0" w:space="0" w:color="auto"/>
            <w:right w:val="none" w:sz="0" w:space="0" w:color="auto"/>
          </w:divBdr>
        </w:div>
        <w:div w:id="754936544">
          <w:marLeft w:val="850"/>
          <w:marRight w:val="0"/>
          <w:marTop w:val="160"/>
          <w:marBottom w:val="0"/>
          <w:divBdr>
            <w:top w:val="none" w:sz="0" w:space="0" w:color="auto"/>
            <w:left w:val="none" w:sz="0" w:space="0" w:color="auto"/>
            <w:bottom w:val="none" w:sz="0" w:space="0" w:color="auto"/>
            <w:right w:val="none" w:sz="0" w:space="0" w:color="auto"/>
          </w:divBdr>
        </w:div>
        <w:div w:id="1025399374">
          <w:marLeft w:val="576"/>
          <w:marRight w:val="0"/>
          <w:marTop w:val="160"/>
          <w:marBottom w:val="0"/>
          <w:divBdr>
            <w:top w:val="none" w:sz="0" w:space="0" w:color="auto"/>
            <w:left w:val="none" w:sz="0" w:space="0" w:color="auto"/>
            <w:bottom w:val="none" w:sz="0" w:space="0" w:color="auto"/>
            <w:right w:val="none" w:sz="0" w:space="0" w:color="auto"/>
          </w:divBdr>
        </w:div>
        <w:div w:id="1184707254">
          <w:marLeft w:val="850"/>
          <w:marRight w:val="0"/>
          <w:marTop w:val="160"/>
          <w:marBottom w:val="0"/>
          <w:divBdr>
            <w:top w:val="none" w:sz="0" w:space="0" w:color="auto"/>
            <w:left w:val="none" w:sz="0" w:space="0" w:color="auto"/>
            <w:bottom w:val="none" w:sz="0" w:space="0" w:color="auto"/>
            <w:right w:val="none" w:sz="0" w:space="0" w:color="auto"/>
          </w:divBdr>
        </w:div>
        <w:div w:id="1634671732">
          <w:marLeft w:val="850"/>
          <w:marRight w:val="0"/>
          <w:marTop w:val="160"/>
          <w:marBottom w:val="0"/>
          <w:divBdr>
            <w:top w:val="none" w:sz="0" w:space="0" w:color="auto"/>
            <w:left w:val="none" w:sz="0" w:space="0" w:color="auto"/>
            <w:bottom w:val="none" w:sz="0" w:space="0" w:color="auto"/>
            <w:right w:val="none" w:sz="0" w:space="0" w:color="auto"/>
          </w:divBdr>
        </w:div>
        <w:div w:id="1846506376">
          <w:marLeft w:val="576"/>
          <w:marRight w:val="0"/>
          <w:marTop w:val="160"/>
          <w:marBottom w:val="0"/>
          <w:divBdr>
            <w:top w:val="none" w:sz="0" w:space="0" w:color="auto"/>
            <w:left w:val="none" w:sz="0" w:space="0" w:color="auto"/>
            <w:bottom w:val="none" w:sz="0" w:space="0" w:color="auto"/>
            <w:right w:val="none" w:sz="0" w:space="0" w:color="auto"/>
          </w:divBdr>
        </w:div>
        <w:div w:id="1938514162">
          <w:marLeft w:val="576"/>
          <w:marRight w:val="0"/>
          <w:marTop w:val="160"/>
          <w:marBottom w:val="0"/>
          <w:divBdr>
            <w:top w:val="none" w:sz="0" w:space="0" w:color="auto"/>
            <w:left w:val="none" w:sz="0" w:space="0" w:color="auto"/>
            <w:bottom w:val="none" w:sz="0" w:space="0" w:color="auto"/>
            <w:right w:val="none" w:sz="0" w:space="0" w:color="auto"/>
          </w:divBdr>
        </w:div>
        <w:div w:id="2137412242">
          <w:marLeft w:val="850"/>
          <w:marRight w:val="0"/>
          <w:marTop w:val="160"/>
          <w:marBottom w:val="0"/>
          <w:divBdr>
            <w:top w:val="none" w:sz="0" w:space="0" w:color="auto"/>
            <w:left w:val="none" w:sz="0" w:space="0" w:color="auto"/>
            <w:bottom w:val="none" w:sz="0" w:space="0" w:color="auto"/>
            <w:right w:val="none" w:sz="0" w:space="0" w:color="auto"/>
          </w:divBdr>
        </w:div>
      </w:divsChild>
    </w:div>
    <w:div w:id="1507860141">
      <w:bodyDiv w:val="1"/>
      <w:marLeft w:val="0"/>
      <w:marRight w:val="0"/>
      <w:marTop w:val="0"/>
      <w:marBottom w:val="0"/>
      <w:divBdr>
        <w:top w:val="none" w:sz="0" w:space="0" w:color="auto"/>
        <w:left w:val="none" w:sz="0" w:space="0" w:color="auto"/>
        <w:bottom w:val="none" w:sz="0" w:space="0" w:color="auto"/>
        <w:right w:val="none" w:sz="0" w:space="0" w:color="auto"/>
      </w:divBdr>
      <w:divsChild>
        <w:div w:id="692194324">
          <w:marLeft w:val="576"/>
          <w:marRight w:val="0"/>
          <w:marTop w:val="160"/>
          <w:marBottom w:val="0"/>
          <w:divBdr>
            <w:top w:val="none" w:sz="0" w:space="0" w:color="auto"/>
            <w:left w:val="none" w:sz="0" w:space="0" w:color="auto"/>
            <w:bottom w:val="none" w:sz="0" w:space="0" w:color="auto"/>
            <w:right w:val="none" w:sz="0" w:space="0" w:color="auto"/>
          </w:divBdr>
        </w:div>
      </w:divsChild>
    </w:div>
    <w:div w:id="1509174492">
      <w:bodyDiv w:val="1"/>
      <w:marLeft w:val="0"/>
      <w:marRight w:val="0"/>
      <w:marTop w:val="0"/>
      <w:marBottom w:val="0"/>
      <w:divBdr>
        <w:top w:val="none" w:sz="0" w:space="0" w:color="auto"/>
        <w:left w:val="none" w:sz="0" w:space="0" w:color="auto"/>
        <w:bottom w:val="none" w:sz="0" w:space="0" w:color="auto"/>
        <w:right w:val="none" w:sz="0" w:space="0" w:color="auto"/>
      </w:divBdr>
      <w:divsChild>
        <w:div w:id="1882282129">
          <w:marLeft w:val="288"/>
          <w:marRight w:val="0"/>
          <w:marTop w:val="160"/>
          <w:marBottom w:val="0"/>
          <w:divBdr>
            <w:top w:val="none" w:sz="0" w:space="0" w:color="auto"/>
            <w:left w:val="none" w:sz="0" w:space="0" w:color="auto"/>
            <w:bottom w:val="none" w:sz="0" w:space="0" w:color="auto"/>
            <w:right w:val="none" w:sz="0" w:space="0" w:color="auto"/>
          </w:divBdr>
        </w:div>
      </w:divsChild>
    </w:div>
    <w:div w:id="1509370864">
      <w:bodyDiv w:val="1"/>
      <w:marLeft w:val="0"/>
      <w:marRight w:val="0"/>
      <w:marTop w:val="0"/>
      <w:marBottom w:val="0"/>
      <w:divBdr>
        <w:top w:val="none" w:sz="0" w:space="0" w:color="auto"/>
        <w:left w:val="none" w:sz="0" w:space="0" w:color="auto"/>
        <w:bottom w:val="none" w:sz="0" w:space="0" w:color="auto"/>
        <w:right w:val="none" w:sz="0" w:space="0" w:color="auto"/>
      </w:divBdr>
      <w:divsChild>
        <w:div w:id="1715303681">
          <w:marLeft w:val="576"/>
          <w:marRight w:val="0"/>
          <w:marTop w:val="160"/>
          <w:marBottom w:val="0"/>
          <w:divBdr>
            <w:top w:val="none" w:sz="0" w:space="0" w:color="auto"/>
            <w:left w:val="none" w:sz="0" w:space="0" w:color="auto"/>
            <w:bottom w:val="none" w:sz="0" w:space="0" w:color="auto"/>
            <w:right w:val="none" w:sz="0" w:space="0" w:color="auto"/>
          </w:divBdr>
        </w:div>
      </w:divsChild>
    </w:div>
    <w:div w:id="1521819693">
      <w:bodyDiv w:val="1"/>
      <w:marLeft w:val="0"/>
      <w:marRight w:val="0"/>
      <w:marTop w:val="0"/>
      <w:marBottom w:val="0"/>
      <w:divBdr>
        <w:top w:val="none" w:sz="0" w:space="0" w:color="auto"/>
        <w:left w:val="none" w:sz="0" w:space="0" w:color="auto"/>
        <w:bottom w:val="none" w:sz="0" w:space="0" w:color="auto"/>
        <w:right w:val="none" w:sz="0" w:space="0" w:color="auto"/>
      </w:divBdr>
      <w:divsChild>
        <w:div w:id="545944900">
          <w:marLeft w:val="1166"/>
          <w:marRight w:val="0"/>
          <w:marTop w:val="160"/>
          <w:marBottom w:val="0"/>
          <w:divBdr>
            <w:top w:val="none" w:sz="0" w:space="0" w:color="auto"/>
            <w:left w:val="none" w:sz="0" w:space="0" w:color="auto"/>
            <w:bottom w:val="none" w:sz="0" w:space="0" w:color="auto"/>
            <w:right w:val="none" w:sz="0" w:space="0" w:color="auto"/>
          </w:divBdr>
        </w:div>
        <w:div w:id="651984722">
          <w:marLeft w:val="576"/>
          <w:marRight w:val="0"/>
          <w:marTop w:val="160"/>
          <w:marBottom w:val="0"/>
          <w:divBdr>
            <w:top w:val="none" w:sz="0" w:space="0" w:color="auto"/>
            <w:left w:val="none" w:sz="0" w:space="0" w:color="auto"/>
            <w:bottom w:val="none" w:sz="0" w:space="0" w:color="auto"/>
            <w:right w:val="none" w:sz="0" w:space="0" w:color="auto"/>
          </w:divBdr>
        </w:div>
        <w:div w:id="1927498840">
          <w:marLeft w:val="1512"/>
          <w:marRight w:val="0"/>
          <w:marTop w:val="160"/>
          <w:marBottom w:val="0"/>
          <w:divBdr>
            <w:top w:val="none" w:sz="0" w:space="0" w:color="auto"/>
            <w:left w:val="none" w:sz="0" w:space="0" w:color="auto"/>
            <w:bottom w:val="none" w:sz="0" w:space="0" w:color="auto"/>
            <w:right w:val="none" w:sz="0" w:space="0" w:color="auto"/>
          </w:divBdr>
        </w:div>
        <w:div w:id="2037727179">
          <w:marLeft w:val="1166"/>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541432088">
      <w:bodyDiv w:val="1"/>
      <w:marLeft w:val="0"/>
      <w:marRight w:val="0"/>
      <w:marTop w:val="0"/>
      <w:marBottom w:val="0"/>
      <w:divBdr>
        <w:top w:val="none" w:sz="0" w:space="0" w:color="auto"/>
        <w:left w:val="none" w:sz="0" w:space="0" w:color="auto"/>
        <w:bottom w:val="none" w:sz="0" w:space="0" w:color="auto"/>
        <w:right w:val="none" w:sz="0" w:space="0" w:color="auto"/>
      </w:divBdr>
      <w:divsChild>
        <w:div w:id="500705318">
          <w:marLeft w:val="576"/>
          <w:marRight w:val="0"/>
          <w:marTop w:val="160"/>
          <w:marBottom w:val="0"/>
          <w:divBdr>
            <w:top w:val="none" w:sz="0" w:space="0" w:color="auto"/>
            <w:left w:val="none" w:sz="0" w:space="0" w:color="auto"/>
            <w:bottom w:val="none" w:sz="0" w:space="0" w:color="auto"/>
            <w:right w:val="none" w:sz="0" w:space="0" w:color="auto"/>
          </w:divBdr>
        </w:div>
        <w:div w:id="1218588345">
          <w:marLeft w:val="576"/>
          <w:marRight w:val="0"/>
          <w:marTop w:val="160"/>
          <w:marBottom w:val="0"/>
          <w:divBdr>
            <w:top w:val="none" w:sz="0" w:space="0" w:color="auto"/>
            <w:left w:val="none" w:sz="0" w:space="0" w:color="auto"/>
            <w:bottom w:val="none" w:sz="0" w:space="0" w:color="auto"/>
            <w:right w:val="none" w:sz="0" w:space="0" w:color="auto"/>
          </w:divBdr>
        </w:div>
      </w:divsChild>
    </w:div>
    <w:div w:id="1541670242">
      <w:bodyDiv w:val="1"/>
      <w:marLeft w:val="0"/>
      <w:marRight w:val="0"/>
      <w:marTop w:val="0"/>
      <w:marBottom w:val="0"/>
      <w:divBdr>
        <w:top w:val="none" w:sz="0" w:space="0" w:color="auto"/>
        <w:left w:val="none" w:sz="0" w:space="0" w:color="auto"/>
        <w:bottom w:val="none" w:sz="0" w:space="0" w:color="auto"/>
        <w:right w:val="none" w:sz="0" w:space="0" w:color="auto"/>
      </w:divBdr>
      <w:divsChild>
        <w:div w:id="1303458721">
          <w:marLeft w:val="288"/>
          <w:marRight w:val="0"/>
          <w:marTop w:val="160"/>
          <w:marBottom w:val="0"/>
          <w:divBdr>
            <w:top w:val="none" w:sz="0" w:space="0" w:color="auto"/>
            <w:left w:val="none" w:sz="0" w:space="0" w:color="auto"/>
            <w:bottom w:val="none" w:sz="0" w:space="0" w:color="auto"/>
            <w:right w:val="none" w:sz="0" w:space="0" w:color="auto"/>
          </w:divBdr>
        </w:div>
        <w:div w:id="1513184515">
          <w:marLeft w:val="576"/>
          <w:marRight w:val="0"/>
          <w:marTop w:val="160"/>
          <w:marBottom w:val="0"/>
          <w:divBdr>
            <w:top w:val="none" w:sz="0" w:space="0" w:color="auto"/>
            <w:left w:val="none" w:sz="0" w:space="0" w:color="auto"/>
            <w:bottom w:val="none" w:sz="0" w:space="0" w:color="auto"/>
            <w:right w:val="none" w:sz="0" w:space="0" w:color="auto"/>
          </w:divBdr>
        </w:div>
        <w:div w:id="1754426068">
          <w:marLeft w:val="576"/>
          <w:marRight w:val="0"/>
          <w:marTop w:val="160"/>
          <w:marBottom w:val="0"/>
          <w:divBdr>
            <w:top w:val="none" w:sz="0" w:space="0" w:color="auto"/>
            <w:left w:val="none" w:sz="0" w:space="0" w:color="auto"/>
            <w:bottom w:val="none" w:sz="0" w:space="0" w:color="auto"/>
            <w:right w:val="none" w:sz="0" w:space="0" w:color="auto"/>
          </w:divBdr>
        </w:div>
      </w:divsChild>
    </w:div>
    <w:div w:id="1554732971">
      <w:bodyDiv w:val="1"/>
      <w:marLeft w:val="0"/>
      <w:marRight w:val="0"/>
      <w:marTop w:val="0"/>
      <w:marBottom w:val="0"/>
      <w:divBdr>
        <w:top w:val="none" w:sz="0" w:space="0" w:color="auto"/>
        <w:left w:val="none" w:sz="0" w:space="0" w:color="auto"/>
        <w:bottom w:val="none" w:sz="0" w:space="0" w:color="auto"/>
        <w:right w:val="none" w:sz="0" w:space="0" w:color="auto"/>
      </w:divBdr>
      <w:divsChild>
        <w:div w:id="756246374">
          <w:marLeft w:val="1512"/>
          <w:marRight w:val="0"/>
          <w:marTop w:val="160"/>
          <w:marBottom w:val="0"/>
          <w:divBdr>
            <w:top w:val="none" w:sz="0" w:space="0" w:color="auto"/>
            <w:left w:val="none" w:sz="0" w:space="0" w:color="auto"/>
            <w:bottom w:val="none" w:sz="0" w:space="0" w:color="auto"/>
            <w:right w:val="none" w:sz="0" w:space="0" w:color="auto"/>
          </w:divBdr>
        </w:div>
      </w:divsChild>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669018259">
      <w:bodyDiv w:val="1"/>
      <w:marLeft w:val="0"/>
      <w:marRight w:val="0"/>
      <w:marTop w:val="0"/>
      <w:marBottom w:val="0"/>
      <w:divBdr>
        <w:top w:val="none" w:sz="0" w:space="0" w:color="auto"/>
        <w:left w:val="none" w:sz="0" w:space="0" w:color="auto"/>
        <w:bottom w:val="none" w:sz="0" w:space="0" w:color="auto"/>
        <w:right w:val="none" w:sz="0" w:space="0" w:color="auto"/>
      </w:divBdr>
      <w:divsChild>
        <w:div w:id="151726909">
          <w:marLeft w:val="547"/>
          <w:marRight w:val="0"/>
          <w:marTop w:val="60"/>
          <w:marBottom w:val="0"/>
          <w:divBdr>
            <w:top w:val="none" w:sz="0" w:space="0" w:color="auto"/>
            <w:left w:val="none" w:sz="0" w:space="0" w:color="auto"/>
            <w:bottom w:val="none" w:sz="0" w:space="0" w:color="auto"/>
            <w:right w:val="none" w:sz="0" w:space="0" w:color="auto"/>
          </w:divBdr>
        </w:div>
      </w:divsChild>
    </w:div>
    <w:div w:id="1698693702">
      <w:bodyDiv w:val="1"/>
      <w:marLeft w:val="0"/>
      <w:marRight w:val="0"/>
      <w:marTop w:val="0"/>
      <w:marBottom w:val="0"/>
      <w:divBdr>
        <w:top w:val="none" w:sz="0" w:space="0" w:color="auto"/>
        <w:left w:val="none" w:sz="0" w:space="0" w:color="auto"/>
        <w:bottom w:val="none" w:sz="0" w:space="0" w:color="auto"/>
        <w:right w:val="none" w:sz="0" w:space="0" w:color="auto"/>
      </w:divBdr>
      <w:divsChild>
        <w:div w:id="1335306782">
          <w:marLeft w:val="576"/>
          <w:marRight w:val="0"/>
          <w:marTop w:val="160"/>
          <w:marBottom w:val="0"/>
          <w:divBdr>
            <w:top w:val="none" w:sz="0" w:space="0" w:color="auto"/>
            <w:left w:val="none" w:sz="0" w:space="0" w:color="auto"/>
            <w:bottom w:val="none" w:sz="0" w:space="0" w:color="auto"/>
            <w:right w:val="none" w:sz="0" w:space="0" w:color="auto"/>
          </w:divBdr>
        </w:div>
      </w:divsChild>
    </w:div>
    <w:div w:id="1702897064">
      <w:bodyDiv w:val="1"/>
      <w:marLeft w:val="0"/>
      <w:marRight w:val="0"/>
      <w:marTop w:val="0"/>
      <w:marBottom w:val="0"/>
      <w:divBdr>
        <w:top w:val="none" w:sz="0" w:space="0" w:color="auto"/>
        <w:left w:val="none" w:sz="0" w:space="0" w:color="auto"/>
        <w:bottom w:val="none" w:sz="0" w:space="0" w:color="auto"/>
        <w:right w:val="none" w:sz="0" w:space="0" w:color="auto"/>
      </w:divBdr>
      <w:divsChild>
        <w:div w:id="476724681">
          <w:marLeft w:val="576"/>
          <w:marRight w:val="0"/>
          <w:marTop w:val="160"/>
          <w:marBottom w:val="0"/>
          <w:divBdr>
            <w:top w:val="none" w:sz="0" w:space="0" w:color="auto"/>
            <w:left w:val="none" w:sz="0" w:space="0" w:color="auto"/>
            <w:bottom w:val="none" w:sz="0" w:space="0" w:color="auto"/>
            <w:right w:val="none" w:sz="0" w:space="0" w:color="auto"/>
          </w:divBdr>
        </w:div>
        <w:div w:id="950746150">
          <w:marLeft w:val="850"/>
          <w:marRight w:val="0"/>
          <w:marTop w:val="160"/>
          <w:marBottom w:val="0"/>
          <w:divBdr>
            <w:top w:val="none" w:sz="0" w:space="0" w:color="auto"/>
            <w:left w:val="none" w:sz="0" w:space="0" w:color="auto"/>
            <w:bottom w:val="none" w:sz="0" w:space="0" w:color="auto"/>
            <w:right w:val="none" w:sz="0" w:space="0" w:color="auto"/>
          </w:divBdr>
        </w:div>
        <w:div w:id="1253200360">
          <w:marLeft w:val="576"/>
          <w:marRight w:val="0"/>
          <w:marTop w:val="160"/>
          <w:marBottom w:val="0"/>
          <w:divBdr>
            <w:top w:val="none" w:sz="0" w:space="0" w:color="auto"/>
            <w:left w:val="none" w:sz="0" w:space="0" w:color="auto"/>
            <w:bottom w:val="none" w:sz="0" w:space="0" w:color="auto"/>
            <w:right w:val="none" w:sz="0" w:space="0" w:color="auto"/>
          </w:divBdr>
        </w:div>
        <w:div w:id="1682319649">
          <w:marLeft w:val="850"/>
          <w:marRight w:val="0"/>
          <w:marTop w:val="160"/>
          <w:marBottom w:val="0"/>
          <w:divBdr>
            <w:top w:val="none" w:sz="0" w:space="0" w:color="auto"/>
            <w:left w:val="none" w:sz="0" w:space="0" w:color="auto"/>
            <w:bottom w:val="none" w:sz="0" w:space="0" w:color="auto"/>
            <w:right w:val="none" w:sz="0" w:space="0" w:color="auto"/>
          </w:divBdr>
        </w:div>
        <w:div w:id="2030138230">
          <w:marLeft w:val="576"/>
          <w:marRight w:val="0"/>
          <w:marTop w:val="160"/>
          <w:marBottom w:val="0"/>
          <w:divBdr>
            <w:top w:val="none" w:sz="0" w:space="0" w:color="auto"/>
            <w:left w:val="none" w:sz="0" w:space="0" w:color="auto"/>
            <w:bottom w:val="none" w:sz="0" w:space="0" w:color="auto"/>
            <w:right w:val="none" w:sz="0" w:space="0" w:color="auto"/>
          </w:divBdr>
        </w:div>
      </w:divsChild>
    </w:div>
    <w:div w:id="1730615233">
      <w:bodyDiv w:val="1"/>
      <w:marLeft w:val="0"/>
      <w:marRight w:val="0"/>
      <w:marTop w:val="0"/>
      <w:marBottom w:val="0"/>
      <w:divBdr>
        <w:top w:val="none" w:sz="0" w:space="0" w:color="auto"/>
        <w:left w:val="none" w:sz="0" w:space="0" w:color="auto"/>
        <w:bottom w:val="none" w:sz="0" w:space="0" w:color="auto"/>
        <w:right w:val="none" w:sz="0" w:space="0" w:color="auto"/>
      </w:divBdr>
    </w:div>
    <w:div w:id="1745564861">
      <w:bodyDiv w:val="1"/>
      <w:marLeft w:val="0"/>
      <w:marRight w:val="0"/>
      <w:marTop w:val="0"/>
      <w:marBottom w:val="0"/>
      <w:divBdr>
        <w:top w:val="none" w:sz="0" w:space="0" w:color="auto"/>
        <w:left w:val="none" w:sz="0" w:space="0" w:color="auto"/>
        <w:bottom w:val="none" w:sz="0" w:space="0" w:color="auto"/>
        <w:right w:val="none" w:sz="0" w:space="0" w:color="auto"/>
      </w:divBdr>
      <w:divsChild>
        <w:div w:id="365374116">
          <w:marLeft w:val="878"/>
          <w:marRight w:val="0"/>
          <w:marTop w:val="160"/>
          <w:marBottom w:val="180"/>
          <w:divBdr>
            <w:top w:val="none" w:sz="0" w:space="0" w:color="auto"/>
            <w:left w:val="none" w:sz="0" w:space="0" w:color="auto"/>
            <w:bottom w:val="none" w:sz="0" w:space="0" w:color="auto"/>
            <w:right w:val="none" w:sz="0" w:space="0" w:color="auto"/>
          </w:divBdr>
        </w:div>
        <w:div w:id="524443930">
          <w:marLeft w:val="878"/>
          <w:marRight w:val="0"/>
          <w:marTop w:val="160"/>
          <w:marBottom w:val="0"/>
          <w:divBdr>
            <w:top w:val="none" w:sz="0" w:space="0" w:color="auto"/>
            <w:left w:val="none" w:sz="0" w:space="0" w:color="auto"/>
            <w:bottom w:val="none" w:sz="0" w:space="0" w:color="auto"/>
            <w:right w:val="none" w:sz="0" w:space="0" w:color="auto"/>
          </w:divBdr>
        </w:div>
        <w:div w:id="1936591678">
          <w:marLeft w:val="1166"/>
          <w:marRight w:val="0"/>
          <w:marTop w:val="160"/>
          <w:marBottom w:val="0"/>
          <w:divBdr>
            <w:top w:val="none" w:sz="0" w:space="0" w:color="auto"/>
            <w:left w:val="none" w:sz="0" w:space="0" w:color="auto"/>
            <w:bottom w:val="none" w:sz="0" w:space="0" w:color="auto"/>
            <w:right w:val="none" w:sz="0" w:space="0" w:color="auto"/>
          </w:divBdr>
        </w:div>
      </w:divsChild>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793939083">
      <w:bodyDiv w:val="1"/>
      <w:marLeft w:val="0"/>
      <w:marRight w:val="0"/>
      <w:marTop w:val="0"/>
      <w:marBottom w:val="0"/>
      <w:divBdr>
        <w:top w:val="none" w:sz="0" w:space="0" w:color="auto"/>
        <w:left w:val="none" w:sz="0" w:space="0" w:color="auto"/>
        <w:bottom w:val="none" w:sz="0" w:space="0" w:color="auto"/>
        <w:right w:val="none" w:sz="0" w:space="0" w:color="auto"/>
      </w:divBdr>
      <w:divsChild>
        <w:div w:id="274679719">
          <w:marLeft w:val="850"/>
          <w:marRight w:val="0"/>
          <w:marTop w:val="160"/>
          <w:marBottom w:val="0"/>
          <w:divBdr>
            <w:top w:val="none" w:sz="0" w:space="0" w:color="auto"/>
            <w:left w:val="none" w:sz="0" w:space="0" w:color="auto"/>
            <w:bottom w:val="none" w:sz="0" w:space="0" w:color="auto"/>
            <w:right w:val="none" w:sz="0" w:space="0" w:color="auto"/>
          </w:divBdr>
        </w:div>
      </w:divsChild>
    </w:div>
    <w:div w:id="1839617052">
      <w:bodyDiv w:val="1"/>
      <w:marLeft w:val="0"/>
      <w:marRight w:val="0"/>
      <w:marTop w:val="0"/>
      <w:marBottom w:val="0"/>
      <w:divBdr>
        <w:top w:val="none" w:sz="0" w:space="0" w:color="auto"/>
        <w:left w:val="none" w:sz="0" w:space="0" w:color="auto"/>
        <w:bottom w:val="none" w:sz="0" w:space="0" w:color="auto"/>
        <w:right w:val="none" w:sz="0" w:space="0" w:color="auto"/>
      </w:divBdr>
      <w:divsChild>
        <w:div w:id="110781411">
          <w:marLeft w:val="850"/>
          <w:marRight w:val="0"/>
          <w:marTop w:val="160"/>
          <w:marBottom w:val="0"/>
          <w:divBdr>
            <w:top w:val="none" w:sz="0" w:space="0" w:color="auto"/>
            <w:left w:val="none" w:sz="0" w:space="0" w:color="auto"/>
            <w:bottom w:val="none" w:sz="0" w:space="0" w:color="auto"/>
            <w:right w:val="none" w:sz="0" w:space="0" w:color="auto"/>
          </w:divBdr>
        </w:div>
        <w:div w:id="1033457555">
          <w:marLeft w:val="850"/>
          <w:marRight w:val="0"/>
          <w:marTop w:val="160"/>
          <w:marBottom w:val="0"/>
          <w:divBdr>
            <w:top w:val="none" w:sz="0" w:space="0" w:color="auto"/>
            <w:left w:val="none" w:sz="0" w:space="0" w:color="auto"/>
            <w:bottom w:val="none" w:sz="0" w:space="0" w:color="auto"/>
            <w:right w:val="none" w:sz="0" w:space="0" w:color="auto"/>
          </w:divBdr>
        </w:div>
        <w:div w:id="1460147711">
          <w:marLeft w:val="1138"/>
          <w:marRight w:val="0"/>
          <w:marTop w:val="160"/>
          <w:marBottom w:val="0"/>
          <w:divBdr>
            <w:top w:val="none" w:sz="0" w:space="0" w:color="auto"/>
            <w:left w:val="none" w:sz="0" w:space="0" w:color="auto"/>
            <w:bottom w:val="none" w:sz="0" w:space="0" w:color="auto"/>
            <w:right w:val="none" w:sz="0" w:space="0" w:color="auto"/>
          </w:divBdr>
        </w:div>
        <w:div w:id="1492714390">
          <w:marLeft w:val="1138"/>
          <w:marRight w:val="0"/>
          <w:marTop w:val="160"/>
          <w:marBottom w:val="0"/>
          <w:divBdr>
            <w:top w:val="none" w:sz="0" w:space="0" w:color="auto"/>
            <w:left w:val="none" w:sz="0" w:space="0" w:color="auto"/>
            <w:bottom w:val="none" w:sz="0" w:space="0" w:color="auto"/>
            <w:right w:val="none" w:sz="0" w:space="0" w:color="auto"/>
          </w:divBdr>
        </w:div>
        <w:div w:id="1835028789">
          <w:marLeft w:val="1426"/>
          <w:marRight w:val="0"/>
          <w:marTop w:val="160"/>
          <w:marBottom w:val="0"/>
          <w:divBdr>
            <w:top w:val="none" w:sz="0" w:space="0" w:color="auto"/>
            <w:left w:val="none" w:sz="0" w:space="0" w:color="auto"/>
            <w:bottom w:val="none" w:sz="0" w:space="0" w:color="auto"/>
            <w:right w:val="none" w:sz="0" w:space="0" w:color="auto"/>
          </w:divBdr>
        </w:div>
      </w:divsChild>
    </w:div>
    <w:div w:id="1854175971">
      <w:bodyDiv w:val="1"/>
      <w:marLeft w:val="0"/>
      <w:marRight w:val="0"/>
      <w:marTop w:val="0"/>
      <w:marBottom w:val="0"/>
      <w:divBdr>
        <w:top w:val="none" w:sz="0" w:space="0" w:color="auto"/>
        <w:left w:val="none" w:sz="0" w:space="0" w:color="auto"/>
        <w:bottom w:val="none" w:sz="0" w:space="0" w:color="auto"/>
        <w:right w:val="none" w:sz="0" w:space="0" w:color="auto"/>
      </w:divBdr>
    </w:div>
    <w:div w:id="1857690011">
      <w:bodyDiv w:val="1"/>
      <w:marLeft w:val="0"/>
      <w:marRight w:val="0"/>
      <w:marTop w:val="0"/>
      <w:marBottom w:val="0"/>
      <w:divBdr>
        <w:top w:val="none" w:sz="0" w:space="0" w:color="auto"/>
        <w:left w:val="none" w:sz="0" w:space="0" w:color="auto"/>
        <w:bottom w:val="none" w:sz="0" w:space="0" w:color="auto"/>
        <w:right w:val="none" w:sz="0" w:space="0" w:color="auto"/>
      </w:divBdr>
      <w:divsChild>
        <w:div w:id="184028691">
          <w:marLeft w:val="547"/>
          <w:marRight w:val="0"/>
          <w:marTop w:val="120"/>
          <w:marBottom w:val="120"/>
          <w:divBdr>
            <w:top w:val="none" w:sz="0" w:space="0" w:color="auto"/>
            <w:left w:val="none" w:sz="0" w:space="0" w:color="auto"/>
            <w:bottom w:val="none" w:sz="0" w:space="0" w:color="auto"/>
            <w:right w:val="none" w:sz="0" w:space="0" w:color="auto"/>
          </w:divBdr>
        </w:div>
        <w:div w:id="612133307">
          <w:marLeft w:val="547"/>
          <w:marRight w:val="0"/>
          <w:marTop w:val="120"/>
          <w:marBottom w:val="120"/>
          <w:divBdr>
            <w:top w:val="none" w:sz="0" w:space="0" w:color="auto"/>
            <w:left w:val="none" w:sz="0" w:space="0" w:color="auto"/>
            <w:bottom w:val="none" w:sz="0" w:space="0" w:color="auto"/>
            <w:right w:val="none" w:sz="0" w:space="0" w:color="auto"/>
          </w:divBdr>
        </w:div>
      </w:divsChild>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07840033">
      <w:bodyDiv w:val="1"/>
      <w:marLeft w:val="0"/>
      <w:marRight w:val="0"/>
      <w:marTop w:val="0"/>
      <w:marBottom w:val="0"/>
      <w:divBdr>
        <w:top w:val="none" w:sz="0" w:space="0" w:color="auto"/>
        <w:left w:val="none" w:sz="0" w:space="0" w:color="auto"/>
        <w:bottom w:val="none" w:sz="0" w:space="0" w:color="auto"/>
        <w:right w:val="none" w:sz="0" w:space="0" w:color="auto"/>
      </w:divBdr>
    </w:div>
    <w:div w:id="1912764246">
      <w:bodyDiv w:val="1"/>
      <w:marLeft w:val="0"/>
      <w:marRight w:val="0"/>
      <w:marTop w:val="0"/>
      <w:marBottom w:val="0"/>
      <w:divBdr>
        <w:top w:val="none" w:sz="0" w:space="0" w:color="auto"/>
        <w:left w:val="none" w:sz="0" w:space="0" w:color="auto"/>
        <w:bottom w:val="none" w:sz="0" w:space="0" w:color="auto"/>
        <w:right w:val="none" w:sz="0" w:space="0" w:color="auto"/>
      </w:divBdr>
    </w:div>
    <w:div w:id="1924951802">
      <w:bodyDiv w:val="1"/>
      <w:marLeft w:val="0"/>
      <w:marRight w:val="0"/>
      <w:marTop w:val="0"/>
      <w:marBottom w:val="0"/>
      <w:divBdr>
        <w:top w:val="none" w:sz="0" w:space="0" w:color="auto"/>
        <w:left w:val="none" w:sz="0" w:space="0" w:color="auto"/>
        <w:bottom w:val="none" w:sz="0" w:space="0" w:color="auto"/>
        <w:right w:val="none" w:sz="0" w:space="0" w:color="auto"/>
      </w:divBdr>
      <w:divsChild>
        <w:div w:id="385299359">
          <w:marLeft w:val="576"/>
          <w:marRight w:val="0"/>
          <w:marTop w:val="160"/>
          <w:marBottom w:val="0"/>
          <w:divBdr>
            <w:top w:val="none" w:sz="0" w:space="0" w:color="auto"/>
            <w:left w:val="none" w:sz="0" w:space="0" w:color="auto"/>
            <w:bottom w:val="none" w:sz="0" w:space="0" w:color="auto"/>
            <w:right w:val="none" w:sz="0" w:space="0" w:color="auto"/>
          </w:divBdr>
        </w:div>
        <w:div w:id="732584283">
          <w:marLeft w:val="850"/>
          <w:marRight w:val="0"/>
          <w:marTop w:val="160"/>
          <w:marBottom w:val="0"/>
          <w:divBdr>
            <w:top w:val="none" w:sz="0" w:space="0" w:color="auto"/>
            <w:left w:val="none" w:sz="0" w:space="0" w:color="auto"/>
            <w:bottom w:val="none" w:sz="0" w:space="0" w:color="auto"/>
            <w:right w:val="none" w:sz="0" w:space="0" w:color="auto"/>
          </w:divBdr>
        </w:div>
        <w:div w:id="1419062002">
          <w:marLeft w:val="288"/>
          <w:marRight w:val="0"/>
          <w:marTop w:val="160"/>
          <w:marBottom w:val="0"/>
          <w:divBdr>
            <w:top w:val="none" w:sz="0" w:space="0" w:color="auto"/>
            <w:left w:val="none" w:sz="0" w:space="0" w:color="auto"/>
            <w:bottom w:val="none" w:sz="0" w:space="0" w:color="auto"/>
            <w:right w:val="none" w:sz="0" w:space="0" w:color="auto"/>
          </w:divBdr>
        </w:div>
        <w:div w:id="1506745956">
          <w:marLeft w:val="850"/>
          <w:marRight w:val="0"/>
          <w:marTop w:val="160"/>
          <w:marBottom w:val="0"/>
          <w:divBdr>
            <w:top w:val="none" w:sz="0" w:space="0" w:color="auto"/>
            <w:left w:val="none" w:sz="0" w:space="0" w:color="auto"/>
            <w:bottom w:val="none" w:sz="0" w:space="0" w:color="auto"/>
            <w:right w:val="none" w:sz="0" w:space="0" w:color="auto"/>
          </w:divBdr>
        </w:div>
        <w:div w:id="1559710332">
          <w:marLeft w:val="850"/>
          <w:marRight w:val="0"/>
          <w:marTop w:val="160"/>
          <w:marBottom w:val="0"/>
          <w:divBdr>
            <w:top w:val="none" w:sz="0" w:space="0" w:color="auto"/>
            <w:left w:val="none" w:sz="0" w:space="0" w:color="auto"/>
            <w:bottom w:val="none" w:sz="0" w:space="0" w:color="auto"/>
            <w:right w:val="none" w:sz="0" w:space="0" w:color="auto"/>
          </w:divBdr>
        </w:div>
        <w:div w:id="1774281758">
          <w:marLeft w:val="850"/>
          <w:marRight w:val="0"/>
          <w:marTop w:val="160"/>
          <w:marBottom w:val="0"/>
          <w:divBdr>
            <w:top w:val="none" w:sz="0" w:space="0" w:color="auto"/>
            <w:left w:val="none" w:sz="0" w:space="0" w:color="auto"/>
            <w:bottom w:val="none" w:sz="0" w:space="0" w:color="auto"/>
            <w:right w:val="none" w:sz="0" w:space="0" w:color="auto"/>
          </w:divBdr>
        </w:div>
        <w:div w:id="1815945383">
          <w:marLeft w:val="576"/>
          <w:marRight w:val="0"/>
          <w:marTop w:val="160"/>
          <w:marBottom w:val="0"/>
          <w:divBdr>
            <w:top w:val="none" w:sz="0" w:space="0" w:color="auto"/>
            <w:left w:val="none" w:sz="0" w:space="0" w:color="auto"/>
            <w:bottom w:val="none" w:sz="0" w:space="0" w:color="auto"/>
            <w:right w:val="none" w:sz="0" w:space="0" w:color="auto"/>
          </w:divBdr>
        </w:div>
      </w:divsChild>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 w:id="1950426063">
      <w:bodyDiv w:val="1"/>
      <w:marLeft w:val="0"/>
      <w:marRight w:val="0"/>
      <w:marTop w:val="0"/>
      <w:marBottom w:val="0"/>
      <w:divBdr>
        <w:top w:val="none" w:sz="0" w:space="0" w:color="auto"/>
        <w:left w:val="none" w:sz="0" w:space="0" w:color="auto"/>
        <w:bottom w:val="none" w:sz="0" w:space="0" w:color="auto"/>
        <w:right w:val="none" w:sz="0" w:space="0" w:color="auto"/>
      </w:divBdr>
    </w:div>
    <w:div w:id="2002192814">
      <w:bodyDiv w:val="1"/>
      <w:marLeft w:val="0"/>
      <w:marRight w:val="0"/>
      <w:marTop w:val="0"/>
      <w:marBottom w:val="0"/>
      <w:divBdr>
        <w:top w:val="none" w:sz="0" w:space="0" w:color="auto"/>
        <w:left w:val="none" w:sz="0" w:space="0" w:color="auto"/>
        <w:bottom w:val="none" w:sz="0" w:space="0" w:color="auto"/>
        <w:right w:val="none" w:sz="0" w:space="0" w:color="auto"/>
      </w:divBdr>
      <w:divsChild>
        <w:div w:id="859927587">
          <w:marLeft w:val="576"/>
          <w:marRight w:val="0"/>
          <w:marTop w:val="160"/>
          <w:marBottom w:val="0"/>
          <w:divBdr>
            <w:top w:val="none" w:sz="0" w:space="0" w:color="auto"/>
            <w:left w:val="none" w:sz="0" w:space="0" w:color="auto"/>
            <w:bottom w:val="none" w:sz="0" w:space="0" w:color="auto"/>
            <w:right w:val="none" w:sz="0" w:space="0" w:color="auto"/>
          </w:divBdr>
        </w:div>
        <w:div w:id="1154836127">
          <w:marLeft w:val="1138"/>
          <w:marRight w:val="0"/>
          <w:marTop w:val="160"/>
          <w:marBottom w:val="0"/>
          <w:divBdr>
            <w:top w:val="none" w:sz="0" w:space="0" w:color="auto"/>
            <w:left w:val="none" w:sz="0" w:space="0" w:color="auto"/>
            <w:bottom w:val="none" w:sz="0" w:space="0" w:color="auto"/>
            <w:right w:val="none" w:sz="0" w:space="0" w:color="auto"/>
          </w:divBdr>
        </w:div>
        <w:div w:id="1328366712">
          <w:marLeft w:val="1138"/>
          <w:marRight w:val="0"/>
          <w:marTop w:val="160"/>
          <w:marBottom w:val="0"/>
          <w:divBdr>
            <w:top w:val="none" w:sz="0" w:space="0" w:color="auto"/>
            <w:left w:val="none" w:sz="0" w:space="0" w:color="auto"/>
            <w:bottom w:val="none" w:sz="0" w:space="0" w:color="auto"/>
            <w:right w:val="none" w:sz="0" w:space="0" w:color="auto"/>
          </w:divBdr>
        </w:div>
        <w:div w:id="1746416323">
          <w:marLeft w:val="1426"/>
          <w:marRight w:val="0"/>
          <w:marTop w:val="160"/>
          <w:marBottom w:val="0"/>
          <w:divBdr>
            <w:top w:val="none" w:sz="0" w:space="0" w:color="auto"/>
            <w:left w:val="none" w:sz="0" w:space="0" w:color="auto"/>
            <w:bottom w:val="none" w:sz="0" w:space="0" w:color="auto"/>
            <w:right w:val="none" w:sz="0" w:space="0" w:color="auto"/>
          </w:divBdr>
        </w:div>
        <w:div w:id="1844779239">
          <w:marLeft w:val="850"/>
          <w:marRight w:val="0"/>
          <w:marTop w:val="160"/>
          <w:marBottom w:val="0"/>
          <w:divBdr>
            <w:top w:val="none" w:sz="0" w:space="0" w:color="auto"/>
            <w:left w:val="none" w:sz="0" w:space="0" w:color="auto"/>
            <w:bottom w:val="none" w:sz="0" w:space="0" w:color="auto"/>
            <w:right w:val="none" w:sz="0" w:space="0" w:color="auto"/>
          </w:divBdr>
        </w:div>
        <w:div w:id="2008439206">
          <w:marLeft w:val="850"/>
          <w:marRight w:val="0"/>
          <w:marTop w:val="160"/>
          <w:marBottom w:val="0"/>
          <w:divBdr>
            <w:top w:val="none" w:sz="0" w:space="0" w:color="auto"/>
            <w:left w:val="none" w:sz="0" w:space="0" w:color="auto"/>
            <w:bottom w:val="none" w:sz="0" w:space="0" w:color="auto"/>
            <w:right w:val="none" w:sz="0" w:space="0" w:color="auto"/>
          </w:divBdr>
        </w:div>
      </w:divsChild>
    </w:div>
    <w:div w:id="2108303596">
      <w:bodyDiv w:val="1"/>
      <w:marLeft w:val="0"/>
      <w:marRight w:val="0"/>
      <w:marTop w:val="0"/>
      <w:marBottom w:val="0"/>
      <w:divBdr>
        <w:top w:val="none" w:sz="0" w:space="0" w:color="auto"/>
        <w:left w:val="none" w:sz="0" w:space="0" w:color="auto"/>
        <w:bottom w:val="none" w:sz="0" w:space="0" w:color="auto"/>
        <w:right w:val="none" w:sz="0" w:space="0" w:color="auto"/>
      </w:divBdr>
      <w:divsChild>
        <w:div w:id="31735152">
          <w:marLeft w:val="547"/>
          <w:marRight w:val="0"/>
          <w:marTop w:val="0"/>
          <w:marBottom w:val="0"/>
          <w:divBdr>
            <w:top w:val="none" w:sz="0" w:space="0" w:color="auto"/>
            <w:left w:val="none" w:sz="0" w:space="0" w:color="auto"/>
            <w:bottom w:val="none" w:sz="0" w:space="0" w:color="auto"/>
            <w:right w:val="none" w:sz="0" w:space="0" w:color="auto"/>
          </w:divBdr>
        </w:div>
        <w:div w:id="690883555">
          <w:marLeft w:val="547"/>
          <w:marRight w:val="0"/>
          <w:marTop w:val="0"/>
          <w:marBottom w:val="0"/>
          <w:divBdr>
            <w:top w:val="none" w:sz="0" w:space="0" w:color="auto"/>
            <w:left w:val="none" w:sz="0" w:space="0" w:color="auto"/>
            <w:bottom w:val="none" w:sz="0" w:space="0" w:color="auto"/>
            <w:right w:val="none" w:sz="0" w:space="0" w:color="auto"/>
          </w:divBdr>
        </w:div>
        <w:div w:id="112337975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D30CF-83BB-40C2-B1A1-3B909F26533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DC0FC1F7-2756-4D25-A8E4-0C486C6B7CB6}">
  <ds:schemaRefs>
    <ds:schemaRef ds:uri="http://schemas.openxmlformats.org/officeDocument/2006/bibliography"/>
  </ds:schemaRefs>
</ds:datastoreItem>
</file>

<file path=customXml/itemProps3.xml><?xml version="1.0" encoding="utf-8"?>
<ds:datastoreItem xmlns:ds="http://schemas.openxmlformats.org/officeDocument/2006/customXml" ds:itemID="{5365DA6E-CA7D-4453-8F14-D66095481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F30793-46DD-4025-8F60-C688D0F97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3971</Words>
  <Characters>22638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2021-12-17T23:16:00Z</dcterms:created>
  <dcterms:modified xsi:type="dcterms:W3CDTF">2022-01-08T21:52:00Z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